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0"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A16147">
        <w:rPr>
          <w:lang w:eastAsia="lv-LV"/>
        </w:rPr>
        <w:t>2</w:t>
      </w:r>
      <w:r w:rsidR="002E2726" w:rsidRPr="00E25AAD">
        <w:rPr>
          <w:lang w:eastAsia="lv-LV"/>
        </w:rPr>
        <w:t>.</w:t>
      </w:r>
      <w:r w:rsidR="00A16147">
        <w:rPr>
          <w:lang w:eastAsia="lv-LV"/>
        </w:rPr>
        <w:t>jūnija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4B4FAF">
        <w:rPr>
          <w:lang w:eastAsia="lv-LV"/>
        </w:rPr>
        <w:t>2017/09</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4B4FAF">
        <w:rPr>
          <w:b/>
          <w:sz w:val="28"/>
          <w:szCs w:val="28"/>
          <w:lang w:eastAsia="lv-LV"/>
        </w:rPr>
        <w:t>U</w:t>
      </w:r>
      <w:r w:rsidR="00B30E61">
        <w:rPr>
          <w:b/>
          <w:sz w:val="28"/>
          <w:szCs w:val="28"/>
          <w:lang w:eastAsia="lv-LV"/>
        </w:rPr>
        <w:t>gunsdrošo</w:t>
      </w:r>
      <w:r w:rsidR="004B4FAF">
        <w:rPr>
          <w:b/>
          <w:sz w:val="28"/>
          <w:szCs w:val="28"/>
          <w:lang w:eastAsia="lv-LV"/>
        </w:rPr>
        <w:t xml:space="preserve"> šķīdinātāju</w:t>
      </w:r>
      <w:r w:rsidR="00B30E61">
        <w:rPr>
          <w:b/>
          <w:sz w:val="28"/>
          <w:szCs w:val="28"/>
          <w:lang w:eastAsia="lv-LV"/>
        </w:rPr>
        <w:t xml:space="preserve"> skapju piegāde</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r w:rsidRPr="004B4FAF">
        <w:rPr>
          <w:sz w:val="32"/>
          <w:lang w:eastAsia="lv-LV"/>
        </w:rPr>
        <w:t>201</w:t>
      </w:r>
      <w:bookmarkEnd w:id="13"/>
      <w:bookmarkEnd w:id="14"/>
      <w:r w:rsidR="004B4FAF" w:rsidRPr="004B4FAF">
        <w:rPr>
          <w:sz w:val="32"/>
          <w:lang w:eastAsia="lv-LV"/>
        </w:rPr>
        <w:t>7/09</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A16147" w:rsidRDefault="003D19FB">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84175740" w:history="1">
        <w:r w:rsidR="00A16147" w:rsidRPr="00F944F3">
          <w:rPr>
            <w:rStyle w:val="Hyperlink"/>
            <w:rFonts w:ascii="Times New Roman" w:hAnsi="Times New Roman"/>
            <w:noProof/>
          </w:rPr>
          <w:t>INSTRUKCIJAS  PRETENDENTIEM</w:t>
        </w:r>
        <w:r w:rsidR="00A16147">
          <w:rPr>
            <w:noProof/>
            <w:webHidden/>
          </w:rPr>
          <w:tab/>
        </w:r>
        <w:r w:rsidR="00A16147">
          <w:rPr>
            <w:noProof/>
            <w:webHidden/>
          </w:rPr>
          <w:fldChar w:fldCharType="begin"/>
        </w:r>
        <w:r w:rsidR="00A16147">
          <w:rPr>
            <w:noProof/>
            <w:webHidden/>
          </w:rPr>
          <w:instrText xml:space="preserve"> PAGEREF _Toc484175740 \h </w:instrText>
        </w:r>
        <w:r w:rsidR="00A16147">
          <w:rPr>
            <w:noProof/>
            <w:webHidden/>
          </w:rPr>
        </w:r>
        <w:r w:rsidR="00A16147">
          <w:rPr>
            <w:noProof/>
            <w:webHidden/>
          </w:rPr>
          <w:fldChar w:fldCharType="separate"/>
        </w:r>
        <w:r w:rsidR="00A16147">
          <w:rPr>
            <w:noProof/>
            <w:webHidden/>
          </w:rPr>
          <w:t>3</w:t>
        </w:r>
        <w:r w:rsidR="00A16147">
          <w:rPr>
            <w:noProof/>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1" w:history="1">
        <w:r w:rsidRPr="00F944F3">
          <w:rPr>
            <w:rStyle w:val="Hyperlink"/>
          </w:rPr>
          <w:t>1.</w:t>
        </w:r>
        <w:r>
          <w:rPr>
            <w:rFonts w:asciiTheme="minorHAnsi" w:eastAsiaTheme="minorEastAsia" w:hAnsiTheme="minorHAnsi" w:cstheme="minorBidi"/>
            <w:b w:val="0"/>
            <w:bCs w:val="0"/>
            <w:sz w:val="22"/>
            <w:szCs w:val="22"/>
            <w:lang w:eastAsia="lv-LV"/>
          </w:rPr>
          <w:tab/>
        </w:r>
        <w:r w:rsidRPr="00F944F3">
          <w:rPr>
            <w:rStyle w:val="Hyperlink"/>
          </w:rPr>
          <w:t>VISPĀRĪGĀ INFORMĀCIJA</w:t>
        </w:r>
        <w:r>
          <w:rPr>
            <w:webHidden/>
          </w:rPr>
          <w:tab/>
        </w:r>
        <w:r>
          <w:rPr>
            <w:webHidden/>
          </w:rPr>
          <w:fldChar w:fldCharType="begin"/>
        </w:r>
        <w:r>
          <w:rPr>
            <w:webHidden/>
          </w:rPr>
          <w:instrText xml:space="preserve"> PAGEREF _Toc484175741 \h </w:instrText>
        </w:r>
        <w:r>
          <w:rPr>
            <w:webHidden/>
          </w:rPr>
        </w:r>
        <w:r>
          <w:rPr>
            <w:webHidden/>
          </w:rPr>
          <w:fldChar w:fldCharType="separate"/>
        </w:r>
        <w:r>
          <w:rPr>
            <w:webHidden/>
          </w:rPr>
          <w:t>4</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2" w:history="1">
        <w:r w:rsidRPr="00F944F3">
          <w:rPr>
            <w:rStyle w:val="Hyperlink"/>
            <w:caps/>
          </w:rPr>
          <w:t>2.</w:t>
        </w:r>
        <w:r>
          <w:rPr>
            <w:rFonts w:asciiTheme="minorHAnsi" w:eastAsiaTheme="minorEastAsia" w:hAnsiTheme="minorHAnsi" w:cstheme="minorBidi"/>
            <w:b w:val="0"/>
            <w:bCs w:val="0"/>
            <w:sz w:val="22"/>
            <w:szCs w:val="22"/>
            <w:lang w:eastAsia="lv-LV"/>
          </w:rPr>
          <w:tab/>
        </w:r>
        <w:r w:rsidRPr="00F944F3">
          <w:rPr>
            <w:rStyle w:val="Hyperlink"/>
            <w:caps/>
          </w:rPr>
          <w:t>Informācija par iepirkuma priekšmetu un līguma nosacījumiem</w:t>
        </w:r>
        <w:r>
          <w:rPr>
            <w:webHidden/>
          </w:rPr>
          <w:tab/>
        </w:r>
        <w:r>
          <w:rPr>
            <w:webHidden/>
          </w:rPr>
          <w:fldChar w:fldCharType="begin"/>
        </w:r>
        <w:r>
          <w:rPr>
            <w:webHidden/>
          </w:rPr>
          <w:instrText xml:space="preserve"> PAGEREF _Toc484175742 \h </w:instrText>
        </w:r>
        <w:r>
          <w:rPr>
            <w:webHidden/>
          </w:rPr>
        </w:r>
        <w:r>
          <w:rPr>
            <w:webHidden/>
          </w:rPr>
          <w:fldChar w:fldCharType="separate"/>
        </w:r>
        <w:r>
          <w:rPr>
            <w:webHidden/>
          </w:rPr>
          <w:t>7</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3" w:history="1">
        <w:r w:rsidRPr="00F944F3">
          <w:rPr>
            <w:rStyle w:val="Hyperlink"/>
            <w:caps/>
          </w:rPr>
          <w:t>3.</w:t>
        </w:r>
        <w:r>
          <w:rPr>
            <w:rFonts w:asciiTheme="minorHAnsi" w:eastAsiaTheme="minorEastAsia" w:hAnsiTheme="minorHAnsi" w:cstheme="minorBidi"/>
            <w:b w:val="0"/>
            <w:bCs w:val="0"/>
            <w:sz w:val="22"/>
            <w:szCs w:val="22"/>
            <w:lang w:eastAsia="lv-LV"/>
          </w:rPr>
          <w:tab/>
        </w:r>
        <w:r w:rsidRPr="00F944F3">
          <w:rPr>
            <w:rStyle w:val="Hyperlink"/>
            <w:caps/>
          </w:rPr>
          <w:t>Pretendentu izslēgšanas nosacījumi, ATLASES UN KVALIFIKĀCIJAS PRASĪBAS</w:t>
        </w:r>
        <w:r>
          <w:rPr>
            <w:webHidden/>
          </w:rPr>
          <w:tab/>
        </w:r>
        <w:r>
          <w:rPr>
            <w:webHidden/>
          </w:rPr>
          <w:fldChar w:fldCharType="begin"/>
        </w:r>
        <w:r>
          <w:rPr>
            <w:webHidden/>
          </w:rPr>
          <w:instrText xml:space="preserve"> PAGEREF _Toc484175743 \h </w:instrText>
        </w:r>
        <w:r>
          <w:rPr>
            <w:webHidden/>
          </w:rPr>
        </w:r>
        <w:r>
          <w:rPr>
            <w:webHidden/>
          </w:rPr>
          <w:fldChar w:fldCharType="separate"/>
        </w:r>
        <w:r>
          <w:rPr>
            <w:webHidden/>
          </w:rPr>
          <w:t>8</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4" w:history="1">
        <w:r w:rsidRPr="00F944F3">
          <w:rPr>
            <w:rStyle w:val="Hyperlink"/>
            <w:caps/>
          </w:rPr>
          <w:t>4.</w:t>
        </w:r>
        <w:r>
          <w:rPr>
            <w:rFonts w:asciiTheme="minorHAnsi" w:eastAsiaTheme="minorEastAsia" w:hAnsiTheme="minorHAnsi" w:cstheme="minorBidi"/>
            <w:b w:val="0"/>
            <w:bCs w:val="0"/>
            <w:sz w:val="22"/>
            <w:szCs w:val="22"/>
            <w:lang w:eastAsia="lv-LV"/>
          </w:rPr>
          <w:tab/>
        </w:r>
        <w:r w:rsidRPr="00F944F3">
          <w:rPr>
            <w:rStyle w:val="Hyperlink"/>
            <w:caps/>
          </w:rPr>
          <w:t>Iesniedzamie dokumenti</w:t>
        </w:r>
        <w:r>
          <w:rPr>
            <w:webHidden/>
          </w:rPr>
          <w:tab/>
        </w:r>
        <w:r>
          <w:rPr>
            <w:webHidden/>
          </w:rPr>
          <w:fldChar w:fldCharType="begin"/>
        </w:r>
        <w:r>
          <w:rPr>
            <w:webHidden/>
          </w:rPr>
          <w:instrText xml:space="preserve"> PAGEREF _Toc484175744 \h </w:instrText>
        </w:r>
        <w:r>
          <w:rPr>
            <w:webHidden/>
          </w:rPr>
        </w:r>
        <w:r>
          <w:rPr>
            <w:webHidden/>
          </w:rPr>
          <w:fldChar w:fldCharType="separate"/>
        </w:r>
        <w:r>
          <w:rPr>
            <w:webHidden/>
          </w:rPr>
          <w:t>10</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5" w:history="1">
        <w:r w:rsidRPr="00F944F3">
          <w:rPr>
            <w:rStyle w:val="Hyperlink"/>
            <w:caps/>
          </w:rPr>
          <w:t>5.</w:t>
        </w:r>
        <w:r>
          <w:rPr>
            <w:rFonts w:asciiTheme="minorHAnsi" w:eastAsiaTheme="minorEastAsia" w:hAnsiTheme="minorHAnsi" w:cstheme="minorBidi"/>
            <w:b w:val="0"/>
            <w:bCs w:val="0"/>
            <w:sz w:val="22"/>
            <w:szCs w:val="22"/>
            <w:lang w:eastAsia="lv-LV"/>
          </w:rPr>
          <w:tab/>
        </w:r>
        <w:r w:rsidRPr="00F944F3">
          <w:rPr>
            <w:rStyle w:val="Hyperlink"/>
            <w:caps/>
          </w:rPr>
          <w:t>Piedāvājuma vērtēšanas un izvēles kritēriji</w:t>
        </w:r>
        <w:r>
          <w:rPr>
            <w:webHidden/>
          </w:rPr>
          <w:tab/>
        </w:r>
        <w:r>
          <w:rPr>
            <w:webHidden/>
          </w:rPr>
          <w:fldChar w:fldCharType="begin"/>
        </w:r>
        <w:r>
          <w:rPr>
            <w:webHidden/>
          </w:rPr>
          <w:instrText xml:space="preserve"> PAGEREF _Toc484175745 \h </w:instrText>
        </w:r>
        <w:r>
          <w:rPr>
            <w:webHidden/>
          </w:rPr>
        </w:r>
        <w:r>
          <w:rPr>
            <w:webHidden/>
          </w:rPr>
          <w:fldChar w:fldCharType="separate"/>
        </w:r>
        <w:r>
          <w:rPr>
            <w:webHidden/>
          </w:rPr>
          <w:t>13</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6" w:history="1">
        <w:r w:rsidRPr="00F944F3">
          <w:rPr>
            <w:rStyle w:val="Hyperlink"/>
            <w:caps/>
          </w:rPr>
          <w:t>6.</w:t>
        </w:r>
        <w:r>
          <w:rPr>
            <w:rFonts w:asciiTheme="minorHAnsi" w:eastAsiaTheme="minorEastAsia" w:hAnsiTheme="minorHAnsi" w:cstheme="minorBidi"/>
            <w:b w:val="0"/>
            <w:bCs w:val="0"/>
            <w:sz w:val="22"/>
            <w:szCs w:val="22"/>
            <w:lang w:eastAsia="lv-LV"/>
          </w:rPr>
          <w:tab/>
        </w:r>
        <w:r w:rsidRPr="00F944F3">
          <w:rPr>
            <w:rStyle w:val="Hyperlink"/>
            <w:caps/>
          </w:rPr>
          <w:t>Iepirkuma līgums</w:t>
        </w:r>
        <w:r>
          <w:rPr>
            <w:webHidden/>
          </w:rPr>
          <w:tab/>
        </w:r>
        <w:r>
          <w:rPr>
            <w:webHidden/>
          </w:rPr>
          <w:fldChar w:fldCharType="begin"/>
        </w:r>
        <w:r>
          <w:rPr>
            <w:webHidden/>
          </w:rPr>
          <w:instrText xml:space="preserve"> PAGEREF _Toc484175746 \h </w:instrText>
        </w:r>
        <w:r>
          <w:rPr>
            <w:webHidden/>
          </w:rPr>
        </w:r>
        <w:r>
          <w:rPr>
            <w:webHidden/>
          </w:rPr>
          <w:fldChar w:fldCharType="separate"/>
        </w:r>
        <w:r>
          <w:rPr>
            <w:webHidden/>
          </w:rPr>
          <w:t>14</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7" w:history="1">
        <w:r w:rsidRPr="00F944F3">
          <w:rPr>
            <w:rStyle w:val="Hyperlink"/>
            <w:caps/>
          </w:rPr>
          <w:t>7.</w:t>
        </w:r>
        <w:r>
          <w:rPr>
            <w:rFonts w:asciiTheme="minorHAnsi" w:eastAsiaTheme="minorEastAsia" w:hAnsiTheme="minorHAnsi" w:cstheme="minorBidi"/>
            <w:b w:val="0"/>
            <w:bCs w:val="0"/>
            <w:sz w:val="22"/>
            <w:szCs w:val="22"/>
            <w:lang w:eastAsia="lv-LV"/>
          </w:rPr>
          <w:tab/>
        </w:r>
        <w:r w:rsidRPr="00F944F3">
          <w:rPr>
            <w:rStyle w:val="Hyperlink"/>
            <w:caps/>
          </w:rPr>
          <w:t>Iepirkuma komisijas tiesības un pienākumi</w:t>
        </w:r>
        <w:r>
          <w:rPr>
            <w:webHidden/>
          </w:rPr>
          <w:tab/>
        </w:r>
        <w:r>
          <w:rPr>
            <w:webHidden/>
          </w:rPr>
          <w:fldChar w:fldCharType="begin"/>
        </w:r>
        <w:r>
          <w:rPr>
            <w:webHidden/>
          </w:rPr>
          <w:instrText xml:space="preserve"> PAGEREF _Toc484175747 \h </w:instrText>
        </w:r>
        <w:r>
          <w:rPr>
            <w:webHidden/>
          </w:rPr>
        </w:r>
        <w:r>
          <w:rPr>
            <w:webHidden/>
          </w:rPr>
          <w:fldChar w:fldCharType="separate"/>
        </w:r>
        <w:r>
          <w:rPr>
            <w:webHidden/>
          </w:rPr>
          <w:t>15</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8" w:history="1">
        <w:r w:rsidRPr="00F944F3">
          <w:rPr>
            <w:rStyle w:val="Hyperlink"/>
            <w:caps/>
          </w:rPr>
          <w:t>8.</w:t>
        </w:r>
        <w:r>
          <w:rPr>
            <w:rFonts w:asciiTheme="minorHAnsi" w:eastAsiaTheme="minorEastAsia" w:hAnsiTheme="minorHAnsi" w:cstheme="minorBidi"/>
            <w:b w:val="0"/>
            <w:bCs w:val="0"/>
            <w:sz w:val="22"/>
            <w:szCs w:val="22"/>
            <w:lang w:eastAsia="lv-LV"/>
          </w:rPr>
          <w:tab/>
        </w:r>
        <w:r w:rsidRPr="00F944F3">
          <w:rPr>
            <w:rStyle w:val="Hyperlink"/>
            <w:caps/>
          </w:rPr>
          <w:t>Pretendenta tiesības un pienākumi</w:t>
        </w:r>
        <w:r>
          <w:rPr>
            <w:webHidden/>
          </w:rPr>
          <w:tab/>
        </w:r>
        <w:r>
          <w:rPr>
            <w:webHidden/>
          </w:rPr>
          <w:fldChar w:fldCharType="begin"/>
        </w:r>
        <w:r>
          <w:rPr>
            <w:webHidden/>
          </w:rPr>
          <w:instrText xml:space="preserve"> PAGEREF _Toc484175748 \h </w:instrText>
        </w:r>
        <w:r>
          <w:rPr>
            <w:webHidden/>
          </w:rPr>
        </w:r>
        <w:r>
          <w:rPr>
            <w:webHidden/>
          </w:rPr>
          <w:fldChar w:fldCharType="separate"/>
        </w:r>
        <w:r>
          <w:rPr>
            <w:webHidden/>
          </w:rPr>
          <w:t>16</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49" w:history="1">
        <w:r w:rsidRPr="00F944F3">
          <w:rPr>
            <w:rStyle w:val="Hyperlink"/>
            <w:caps/>
          </w:rPr>
          <w:t>9.</w:t>
        </w:r>
        <w:r>
          <w:rPr>
            <w:rFonts w:asciiTheme="minorHAnsi" w:eastAsiaTheme="minorEastAsia" w:hAnsiTheme="minorHAnsi" w:cstheme="minorBidi"/>
            <w:b w:val="0"/>
            <w:bCs w:val="0"/>
            <w:sz w:val="22"/>
            <w:szCs w:val="22"/>
            <w:lang w:eastAsia="lv-LV"/>
          </w:rPr>
          <w:tab/>
        </w:r>
        <w:r w:rsidRPr="00F944F3">
          <w:rPr>
            <w:rStyle w:val="Hyperlink"/>
            <w:caps/>
          </w:rPr>
          <w:t>Apakšuzņēmēji un to veicamo darbu apjoms</w:t>
        </w:r>
        <w:r>
          <w:rPr>
            <w:webHidden/>
          </w:rPr>
          <w:tab/>
        </w:r>
        <w:r>
          <w:rPr>
            <w:webHidden/>
          </w:rPr>
          <w:fldChar w:fldCharType="begin"/>
        </w:r>
        <w:r>
          <w:rPr>
            <w:webHidden/>
          </w:rPr>
          <w:instrText xml:space="preserve"> PAGEREF _Toc484175749 \h </w:instrText>
        </w:r>
        <w:r>
          <w:rPr>
            <w:webHidden/>
          </w:rPr>
        </w:r>
        <w:r>
          <w:rPr>
            <w:webHidden/>
          </w:rPr>
          <w:fldChar w:fldCharType="separate"/>
        </w:r>
        <w:r>
          <w:rPr>
            <w:webHidden/>
          </w:rPr>
          <w:t>17</w:t>
        </w:r>
        <w:r>
          <w:rPr>
            <w:webHidden/>
          </w:rPr>
          <w:fldChar w:fldCharType="end"/>
        </w:r>
      </w:hyperlink>
    </w:p>
    <w:p w:rsidR="00A16147" w:rsidRDefault="00A1614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0" w:history="1">
        <w:r w:rsidRPr="00F944F3">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_Toc484175750 \h </w:instrText>
        </w:r>
        <w:r>
          <w:rPr>
            <w:noProof/>
            <w:webHidden/>
          </w:rPr>
        </w:r>
        <w:r>
          <w:rPr>
            <w:noProof/>
            <w:webHidden/>
          </w:rPr>
          <w:fldChar w:fldCharType="separate"/>
        </w:r>
        <w:r>
          <w:rPr>
            <w:noProof/>
            <w:webHidden/>
          </w:rPr>
          <w:t>19</w:t>
        </w:r>
        <w:r>
          <w:rPr>
            <w:noProof/>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1" w:history="1">
        <w:r w:rsidRPr="00F944F3">
          <w:rPr>
            <w:rStyle w:val="Hyperlink"/>
          </w:rPr>
          <w:t>VISPĀRĒJA INFORMĀCIJA</w:t>
        </w:r>
        <w:r>
          <w:rPr>
            <w:webHidden/>
          </w:rPr>
          <w:tab/>
        </w:r>
        <w:r>
          <w:rPr>
            <w:webHidden/>
          </w:rPr>
          <w:fldChar w:fldCharType="begin"/>
        </w:r>
        <w:r>
          <w:rPr>
            <w:webHidden/>
          </w:rPr>
          <w:instrText xml:space="preserve"> PAGEREF _Toc484175751 \h </w:instrText>
        </w:r>
        <w:r>
          <w:rPr>
            <w:webHidden/>
          </w:rPr>
        </w:r>
        <w:r>
          <w:rPr>
            <w:webHidden/>
          </w:rPr>
          <w:fldChar w:fldCharType="separate"/>
        </w:r>
        <w:r>
          <w:rPr>
            <w:webHidden/>
          </w:rPr>
          <w:t>20</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2" w:history="1">
        <w:r w:rsidRPr="00F944F3">
          <w:rPr>
            <w:rStyle w:val="Hyperlink"/>
          </w:rPr>
          <w:t>TEHNISKĀS SPECIFIKĀCIJAS</w:t>
        </w:r>
        <w:r>
          <w:rPr>
            <w:webHidden/>
          </w:rPr>
          <w:tab/>
        </w:r>
        <w:r>
          <w:rPr>
            <w:webHidden/>
          </w:rPr>
          <w:fldChar w:fldCharType="begin"/>
        </w:r>
        <w:r>
          <w:rPr>
            <w:webHidden/>
          </w:rPr>
          <w:instrText xml:space="preserve"> PAGEREF _Toc484175752 \h </w:instrText>
        </w:r>
        <w:r>
          <w:rPr>
            <w:webHidden/>
          </w:rPr>
        </w:r>
        <w:r>
          <w:rPr>
            <w:webHidden/>
          </w:rPr>
          <w:fldChar w:fldCharType="separate"/>
        </w:r>
        <w:r>
          <w:rPr>
            <w:webHidden/>
          </w:rPr>
          <w:t>21</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3" w:history="1">
        <w:r w:rsidRPr="00F944F3">
          <w:rPr>
            <w:rStyle w:val="Hyperlink"/>
            <w:caps/>
          </w:rPr>
          <w:t>1.</w:t>
        </w:r>
        <w:r>
          <w:rPr>
            <w:rFonts w:asciiTheme="minorHAnsi" w:eastAsiaTheme="minorEastAsia" w:hAnsiTheme="minorHAnsi" w:cstheme="minorBidi"/>
            <w:b w:val="0"/>
            <w:bCs w:val="0"/>
            <w:sz w:val="22"/>
            <w:szCs w:val="22"/>
            <w:lang w:eastAsia="lv-LV"/>
          </w:rPr>
          <w:tab/>
        </w:r>
        <w:r w:rsidRPr="00F944F3">
          <w:rPr>
            <w:rStyle w:val="Hyperlink"/>
            <w:caps/>
          </w:rPr>
          <w:t>LOTE</w:t>
        </w:r>
        <w:r>
          <w:rPr>
            <w:webHidden/>
          </w:rPr>
          <w:tab/>
        </w:r>
        <w:r>
          <w:rPr>
            <w:webHidden/>
          </w:rPr>
          <w:fldChar w:fldCharType="begin"/>
        </w:r>
        <w:r>
          <w:rPr>
            <w:webHidden/>
          </w:rPr>
          <w:instrText xml:space="preserve"> PAGEREF _Toc484175753 \h </w:instrText>
        </w:r>
        <w:r>
          <w:rPr>
            <w:webHidden/>
          </w:rPr>
        </w:r>
        <w:r>
          <w:rPr>
            <w:webHidden/>
          </w:rPr>
          <w:fldChar w:fldCharType="separate"/>
        </w:r>
        <w:r>
          <w:rPr>
            <w:webHidden/>
          </w:rPr>
          <w:t>21</w:t>
        </w:r>
        <w:r>
          <w:rPr>
            <w:webHidden/>
          </w:rPr>
          <w:fldChar w:fldCharType="end"/>
        </w:r>
      </w:hyperlink>
    </w:p>
    <w:p w:rsidR="00A16147" w:rsidRDefault="00A1614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5" w:history="1">
        <w:r w:rsidRPr="00F944F3">
          <w:rPr>
            <w:rStyle w:val="Hyperlink"/>
            <w:rFonts w:ascii="Times New Roman" w:hAnsi="Times New Roman"/>
            <w:noProof/>
          </w:rPr>
          <w:t>Iepirkuma LĪGUMA  PROJEKTS</w:t>
        </w:r>
        <w:r>
          <w:rPr>
            <w:noProof/>
            <w:webHidden/>
          </w:rPr>
          <w:tab/>
        </w:r>
        <w:r>
          <w:rPr>
            <w:noProof/>
            <w:webHidden/>
          </w:rPr>
          <w:fldChar w:fldCharType="begin"/>
        </w:r>
        <w:r>
          <w:rPr>
            <w:noProof/>
            <w:webHidden/>
          </w:rPr>
          <w:instrText xml:space="preserve"> PAGEREF _Toc484175755 \h </w:instrText>
        </w:r>
        <w:r>
          <w:rPr>
            <w:noProof/>
            <w:webHidden/>
          </w:rPr>
        </w:r>
        <w:r>
          <w:rPr>
            <w:noProof/>
            <w:webHidden/>
          </w:rPr>
          <w:fldChar w:fldCharType="separate"/>
        </w:r>
        <w:r>
          <w:rPr>
            <w:noProof/>
            <w:webHidden/>
          </w:rPr>
          <w:t>23</w:t>
        </w:r>
        <w:r>
          <w:rPr>
            <w:noProof/>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6" w:history="1">
        <w:r w:rsidRPr="00F944F3">
          <w:rPr>
            <w:rStyle w:val="Hyperlink"/>
          </w:rPr>
          <w:t>LĪGUMA SPECIĀLIE NOTEIKUMI</w:t>
        </w:r>
        <w:r>
          <w:rPr>
            <w:webHidden/>
          </w:rPr>
          <w:tab/>
        </w:r>
        <w:r>
          <w:rPr>
            <w:webHidden/>
          </w:rPr>
          <w:fldChar w:fldCharType="begin"/>
        </w:r>
        <w:r>
          <w:rPr>
            <w:webHidden/>
          </w:rPr>
          <w:instrText xml:space="preserve"> PAGEREF _Toc484175756 \h </w:instrText>
        </w:r>
        <w:r>
          <w:rPr>
            <w:webHidden/>
          </w:rPr>
        </w:r>
        <w:r>
          <w:rPr>
            <w:webHidden/>
          </w:rPr>
          <w:fldChar w:fldCharType="separate"/>
        </w:r>
        <w:r>
          <w:rPr>
            <w:webHidden/>
          </w:rPr>
          <w:t>24</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7" w:history="1">
        <w:r w:rsidRPr="00F944F3">
          <w:rPr>
            <w:rStyle w:val="Hyperlink"/>
          </w:rPr>
          <w:t>LĪGUMA VISPĀRĪGIE NOTEIKUMI</w:t>
        </w:r>
        <w:r>
          <w:rPr>
            <w:webHidden/>
          </w:rPr>
          <w:tab/>
        </w:r>
        <w:r>
          <w:rPr>
            <w:webHidden/>
          </w:rPr>
          <w:fldChar w:fldCharType="begin"/>
        </w:r>
        <w:r>
          <w:rPr>
            <w:webHidden/>
          </w:rPr>
          <w:instrText xml:space="preserve"> PAGEREF _Toc484175757 \h </w:instrText>
        </w:r>
        <w:r>
          <w:rPr>
            <w:webHidden/>
          </w:rPr>
        </w:r>
        <w:r>
          <w:rPr>
            <w:webHidden/>
          </w:rPr>
          <w:fldChar w:fldCharType="separate"/>
        </w:r>
        <w:r>
          <w:rPr>
            <w:webHidden/>
          </w:rPr>
          <w:t>27</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8" w:history="1">
        <w:r w:rsidRPr="00F944F3">
          <w:rPr>
            <w:rStyle w:val="Hyperlink"/>
            <w:iCs/>
            <w:lang w:eastAsia="lv-LV"/>
          </w:rPr>
          <w:t>Pielikums Nr. 1</w:t>
        </w:r>
        <w:r>
          <w:rPr>
            <w:webHidden/>
          </w:rPr>
          <w:tab/>
        </w:r>
        <w:r>
          <w:rPr>
            <w:webHidden/>
          </w:rPr>
          <w:fldChar w:fldCharType="begin"/>
        </w:r>
        <w:r>
          <w:rPr>
            <w:webHidden/>
          </w:rPr>
          <w:instrText xml:space="preserve"> PAGEREF _Toc484175758 \h </w:instrText>
        </w:r>
        <w:r>
          <w:rPr>
            <w:webHidden/>
          </w:rPr>
        </w:r>
        <w:r>
          <w:rPr>
            <w:webHidden/>
          </w:rPr>
          <w:fldChar w:fldCharType="separate"/>
        </w:r>
        <w:r>
          <w:rPr>
            <w:webHidden/>
          </w:rPr>
          <w:t>34</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59" w:history="1">
        <w:r w:rsidRPr="00F944F3">
          <w:rPr>
            <w:rStyle w:val="Hyperlink"/>
            <w:iCs/>
            <w:lang w:eastAsia="lv-LV"/>
          </w:rPr>
          <w:t>Pielikums Nr. 2</w:t>
        </w:r>
        <w:r>
          <w:rPr>
            <w:webHidden/>
          </w:rPr>
          <w:tab/>
        </w:r>
        <w:r>
          <w:rPr>
            <w:webHidden/>
          </w:rPr>
          <w:fldChar w:fldCharType="begin"/>
        </w:r>
        <w:r>
          <w:rPr>
            <w:webHidden/>
          </w:rPr>
          <w:instrText xml:space="preserve"> PAGEREF _Toc484175759 \h </w:instrText>
        </w:r>
        <w:r>
          <w:rPr>
            <w:webHidden/>
          </w:rPr>
        </w:r>
        <w:r>
          <w:rPr>
            <w:webHidden/>
          </w:rPr>
          <w:fldChar w:fldCharType="separate"/>
        </w:r>
        <w:r>
          <w:rPr>
            <w:webHidden/>
          </w:rPr>
          <w:t>35</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0" w:history="1">
        <w:r w:rsidRPr="00F944F3">
          <w:rPr>
            <w:rStyle w:val="Hyperlink"/>
            <w:iCs/>
            <w:lang w:eastAsia="lv-LV"/>
          </w:rPr>
          <w:t>Pielikums Nr. 3</w:t>
        </w:r>
        <w:r>
          <w:rPr>
            <w:webHidden/>
          </w:rPr>
          <w:tab/>
        </w:r>
        <w:r>
          <w:rPr>
            <w:webHidden/>
          </w:rPr>
          <w:fldChar w:fldCharType="begin"/>
        </w:r>
        <w:r>
          <w:rPr>
            <w:webHidden/>
          </w:rPr>
          <w:instrText xml:space="preserve"> PAGEREF _Toc484175760 \h </w:instrText>
        </w:r>
        <w:r>
          <w:rPr>
            <w:webHidden/>
          </w:rPr>
        </w:r>
        <w:r>
          <w:rPr>
            <w:webHidden/>
          </w:rPr>
          <w:fldChar w:fldCharType="separate"/>
        </w:r>
        <w:r>
          <w:rPr>
            <w:webHidden/>
          </w:rPr>
          <w:t>36</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1" w:history="1">
        <w:r w:rsidRPr="00F944F3">
          <w:rPr>
            <w:rStyle w:val="Hyperlink"/>
            <w:iCs/>
            <w:lang w:eastAsia="lv-LV"/>
          </w:rPr>
          <w:t>Pielikums Nr. 4</w:t>
        </w:r>
        <w:r>
          <w:rPr>
            <w:webHidden/>
          </w:rPr>
          <w:tab/>
        </w:r>
        <w:r>
          <w:rPr>
            <w:webHidden/>
          </w:rPr>
          <w:fldChar w:fldCharType="begin"/>
        </w:r>
        <w:r>
          <w:rPr>
            <w:webHidden/>
          </w:rPr>
          <w:instrText xml:space="preserve"> PAGEREF _Toc484175761 \h </w:instrText>
        </w:r>
        <w:r>
          <w:rPr>
            <w:webHidden/>
          </w:rPr>
        </w:r>
        <w:r>
          <w:rPr>
            <w:webHidden/>
          </w:rPr>
          <w:fldChar w:fldCharType="separate"/>
        </w:r>
        <w:r>
          <w:rPr>
            <w:webHidden/>
          </w:rPr>
          <w:t>37</w:t>
        </w:r>
        <w:r>
          <w:rPr>
            <w:webHidden/>
          </w:rPr>
          <w:fldChar w:fldCharType="end"/>
        </w:r>
      </w:hyperlink>
    </w:p>
    <w:p w:rsidR="00A16147" w:rsidRDefault="00A1614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62" w:history="1">
        <w:r w:rsidRPr="00F944F3">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_Toc484175762 \h </w:instrText>
        </w:r>
        <w:r>
          <w:rPr>
            <w:noProof/>
            <w:webHidden/>
          </w:rPr>
        </w:r>
        <w:r>
          <w:rPr>
            <w:noProof/>
            <w:webHidden/>
          </w:rPr>
          <w:fldChar w:fldCharType="separate"/>
        </w:r>
        <w:r>
          <w:rPr>
            <w:noProof/>
            <w:webHidden/>
          </w:rPr>
          <w:t>38</w:t>
        </w:r>
        <w:r>
          <w:rPr>
            <w:noProof/>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3" w:history="1">
        <w:r w:rsidRPr="00F944F3">
          <w:rPr>
            <w:rStyle w:val="Hyperlink"/>
          </w:rPr>
          <w:t>1. FORMA</w:t>
        </w:r>
        <w:r>
          <w:rPr>
            <w:webHidden/>
          </w:rPr>
          <w:tab/>
        </w:r>
        <w:r>
          <w:rPr>
            <w:webHidden/>
          </w:rPr>
          <w:fldChar w:fldCharType="begin"/>
        </w:r>
        <w:r>
          <w:rPr>
            <w:webHidden/>
          </w:rPr>
          <w:instrText xml:space="preserve"> PAGEREF _Toc484175763 \h </w:instrText>
        </w:r>
        <w:r>
          <w:rPr>
            <w:webHidden/>
          </w:rPr>
        </w:r>
        <w:r>
          <w:rPr>
            <w:webHidden/>
          </w:rPr>
          <w:fldChar w:fldCharType="separate"/>
        </w:r>
        <w:r>
          <w:rPr>
            <w:webHidden/>
          </w:rPr>
          <w:t>39</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4" w:history="1">
        <w:r w:rsidRPr="00F944F3">
          <w:rPr>
            <w:rStyle w:val="Hyperlink"/>
          </w:rPr>
          <w:t>2. FORMA</w:t>
        </w:r>
        <w:r>
          <w:rPr>
            <w:webHidden/>
          </w:rPr>
          <w:tab/>
        </w:r>
        <w:r>
          <w:rPr>
            <w:webHidden/>
          </w:rPr>
          <w:fldChar w:fldCharType="begin"/>
        </w:r>
        <w:r>
          <w:rPr>
            <w:webHidden/>
          </w:rPr>
          <w:instrText xml:space="preserve"> PAGEREF _Toc484175764 \h </w:instrText>
        </w:r>
        <w:r>
          <w:rPr>
            <w:webHidden/>
          </w:rPr>
        </w:r>
        <w:r>
          <w:rPr>
            <w:webHidden/>
          </w:rPr>
          <w:fldChar w:fldCharType="separate"/>
        </w:r>
        <w:r>
          <w:rPr>
            <w:webHidden/>
          </w:rPr>
          <w:t>40</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5" w:history="1">
        <w:r w:rsidRPr="00F944F3">
          <w:rPr>
            <w:rStyle w:val="Hyperlink"/>
          </w:rPr>
          <w:t>4.1.FORMA</w:t>
        </w:r>
        <w:r>
          <w:rPr>
            <w:webHidden/>
          </w:rPr>
          <w:tab/>
        </w:r>
        <w:r>
          <w:rPr>
            <w:webHidden/>
          </w:rPr>
          <w:fldChar w:fldCharType="begin"/>
        </w:r>
        <w:r>
          <w:rPr>
            <w:webHidden/>
          </w:rPr>
          <w:instrText xml:space="preserve"> PAGEREF _Toc484175765 \h </w:instrText>
        </w:r>
        <w:r>
          <w:rPr>
            <w:webHidden/>
          </w:rPr>
        </w:r>
        <w:r>
          <w:rPr>
            <w:webHidden/>
          </w:rPr>
          <w:fldChar w:fldCharType="separate"/>
        </w:r>
        <w:r>
          <w:rPr>
            <w:webHidden/>
          </w:rPr>
          <w:t>44</w:t>
        </w:r>
        <w:r>
          <w:rPr>
            <w:webHidden/>
          </w:rPr>
          <w:fldChar w:fldCharType="end"/>
        </w:r>
      </w:hyperlink>
    </w:p>
    <w:p w:rsidR="00A16147" w:rsidRDefault="00A16147">
      <w:pPr>
        <w:pStyle w:val="TOC2"/>
        <w:rPr>
          <w:rFonts w:asciiTheme="minorHAnsi" w:eastAsiaTheme="minorEastAsia" w:hAnsiTheme="minorHAnsi" w:cstheme="minorBidi"/>
          <w:b w:val="0"/>
          <w:bCs w:val="0"/>
          <w:sz w:val="22"/>
          <w:szCs w:val="22"/>
          <w:lang w:eastAsia="lv-LV"/>
        </w:rPr>
      </w:pPr>
      <w:hyperlink w:anchor="_Toc484175766" w:history="1">
        <w:r w:rsidRPr="00F944F3">
          <w:rPr>
            <w:rStyle w:val="Hyperlink"/>
          </w:rPr>
          <w:t>4.2.FORMA</w:t>
        </w:r>
        <w:r>
          <w:rPr>
            <w:webHidden/>
          </w:rPr>
          <w:tab/>
        </w:r>
        <w:r>
          <w:rPr>
            <w:webHidden/>
          </w:rPr>
          <w:fldChar w:fldCharType="begin"/>
        </w:r>
        <w:r>
          <w:rPr>
            <w:webHidden/>
          </w:rPr>
          <w:instrText xml:space="preserve"> PAGEREF _Toc484175766 \h </w:instrText>
        </w:r>
        <w:r>
          <w:rPr>
            <w:webHidden/>
          </w:rPr>
        </w:r>
        <w:r>
          <w:rPr>
            <w:webHidden/>
          </w:rPr>
          <w:fldChar w:fldCharType="separate"/>
        </w:r>
        <w:r>
          <w:rPr>
            <w:webHidden/>
          </w:rPr>
          <w:t>45</w:t>
        </w:r>
        <w:r>
          <w:rPr>
            <w:webHidden/>
          </w:rPr>
          <w:fldChar w:fldCharType="end"/>
        </w:r>
      </w:hyperlink>
    </w:p>
    <w:p w:rsidR="00933782" w:rsidRPr="00A66533" w:rsidRDefault="003D19FB"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INSTRUKCIJAS_PRETENDENTIEM_I"/>
      <w:bookmarkStart w:id="18" w:name="_Toc484175740"/>
      <w:r w:rsidRPr="00A66533">
        <w:rPr>
          <w:rFonts w:ascii="Times New Roman" w:hAnsi="Times New Roman" w:cs="Times New Roman"/>
          <w:lang w:val="lv-LV"/>
        </w:rPr>
        <w:t>INSTRUKCIJAS  PRETENDENTIEM</w:t>
      </w:r>
      <w:bookmarkEnd w:id="15"/>
      <w:bookmarkEnd w:id="16"/>
      <w:bookmarkEnd w:id="18"/>
    </w:p>
    <w:bookmarkEnd w:id="17"/>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84175741"/>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4B4FAF" w:rsidP="00AA1E5D">
      <w:pPr>
        <w:jc w:val="both"/>
      </w:pPr>
      <w:r w:rsidRPr="004B4FAF">
        <w:t>OSI 2017/09</w:t>
      </w:r>
      <w:r w:rsidR="00B22DCA" w:rsidRPr="004B4FAF">
        <w:t xml:space="preserve"> AK</w:t>
      </w:r>
      <w:r w:rsidR="0037048F" w:rsidRPr="004B4FAF">
        <w:t xml:space="preserve"> ERAF</w:t>
      </w:r>
    </w:p>
    <w:p w:rsidR="009267EC" w:rsidRPr="00A66533" w:rsidRDefault="002B0757" w:rsidP="002B0757">
      <w:pPr>
        <w:jc w:val="both"/>
      </w:pPr>
      <w:r w:rsidRPr="00D337D7">
        <w:t>CPV kodi:</w:t>
      </w:r>
      <w:r w:rsidR="00E049C8" w:rsidRPr="00D337D7">
        <w:t xml:space="preserve"> Galvenais priekšmets: </w:t>
      </w:r>
      <w:r w:rsidRPr="00D337D7">
        <w:t>39180000-7</w:t>
      </w:r>
      <w:r w:rsidR="00F14EAD" w:rsidRPr="00D337D7">
        <w:t>. Papildu priekšmeti:</w:t>
      </w:r>
      <w:r w:rsidRPr="00D337D7">
        <w:t xml:space="preserve"> 51430000-5.</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96365A" w:rsidRDefault="002B050D" w:rsidP="00AE70BD">
      <w:pPr>
        <w:widowControl/>
        <w:numPr>
          <w:ilvl w:val="2"/>
          <w:numId w:val="1"/>
        </w:numPr>
        <w:spacing w:before="240"/>
        <w:jc w:val="both"/>
        <w:rPr>
          <w:b/>
        </w:rPr>
      </w:pPr>
      <w:r w:rsidRPr="0096365A">
        <w:t>Piedāvājuma iesniegšanas vieta un kārtība:</w:t>
      </w:r>
    </w:p>
    <w:p w:rsidR="002B050D" w:rsidRPr="0096365A" w:rsidRDefault="002B050D" w:rsidP="00AE70BD">
      <w:pPr>
        <w:widowControl/>
        <w:numPr>
          <w:ilvl w:val="3"/>
          <w:numId w:val="1"/>
        </w:numPr>
        <w:tabs>
          <w:tab w:val="clear" w:pos="720"/>
          <w:tab w:val="num" w:pos="993"/>
          <w:tab w:val="num" w:pos="2880"/>
        </w:tabs>
        <w:spacing w:after="80"/>
        <w:ind w:left="993" w:hanging="851"/>
        <w:jc w:val="both"/>
      </w:pPr>
      <w:r w:rsidRPr="0096365A">
        <w:t xml:space="preserve">Piedāvājums iesniedzams Latvijas Organiskās sintēzes institūta </w:t>
      </w:r>
      <w:r w:rsidR="00F919C0" w:rsidRPr="0096365A">
        <w:t>112</w:t>
      </w:r>
      <w:r w:rsidRPr="0096365A">
        <w:t>. telpā, 2. stāvā, Aizkraukles ielā 21, Rīgā.</w:t>
      </w:r>
    </w:p>
    <w:p w:rsidR="009267EC" w:rsidRPr="0096365A" w:rsidRDefault="00E049C8" w:rsidP="00AE70BD">
      <w:pPr>
        <w:widowControl/>
        <w:numPr>
          <w:ilvl w:val="3"/>
          <w:numId w:val="1"/>
        </w:numPr>
        <w:tabs>
          <w:tab w:val="clear" w:pos="720"/>
          <w:tab w:val="num" w:pos="993"/>
          <w:tab w:val="num" w:pos="2880"/>
        </w:tabs>
        <w:spacing w:after="80"/>
        <w:ind w:left="993" w:hanging="851"/>
        <w:jc w:val="both"/>
      </w:pPr>
      <w:r w:rsidRPr="0096365A">
        <w:rPr>
          <w:b/>
        </w:rPr>
        <w:t>Piedāvājums jāiesniedz</w:t>
      </w:r>
      <w:r w:rsidRPr="0096365A">
        <w:t xml:space="preserve"> darba dienās, no plkst. 9:00 – 17:00, </w:t>
      </w:r>
      <w:r w:rsidR="007D1C32" w:rsidRPr="0096365A">
        <w:rPr>
          <w:b/>
        </w:rPr>
        <w:t>līdz</w:t>
      </w:r>
      <w:r w:rsidR="00B30E61" w:rsidRPr="0096365A">
        <w:rPr>
          <w:b/>
        </w:rPr>
        <w:t xml:space="preserve"> 2017</w:t>
      </w:r>
      <w:r w:rsidR="00D337D7" w:rsidRPr="0096365A">
        <w:rPr>
          <w:b/>
        </w:rPr>
        <w:t>. gada 18</w:t>
      </w:r>
      <w:r w:rsidR="00BB45B4" w:rsidRPr="0096365A">
        <w:rPr>
          <w:b/>
        </w:rPr>
        <w:t>.</w:t>
      </w:r>
      <w:r w:rsidR="00AE4267" w:rsidRPr="0096365A">
        <w:rPr>
          <w:b/>
        </w:rPr>
        <w:t> </w:t>
      </w:r>
      <w:r w:rsidR="00D337D7" w:rsidRPr="0096365A">
        <w:rPr>
          <w:b/>
        </w:rPr>
        <w:t>jūl</w:t>
      </w:r>
      <w:r w:rsidR="007A79FE" w:rsidRPr="0096365A">
        <w:rPr>
          <w:b/>
        </w:rPr>
        <w:t>ijam</w:t>
      </w:r>
      <w:r w:rsidRPr="0096365A">
        <w:rPr>
          <w:b/>
        </w:rPr>
        <w:t xml:space="preserve">, plkst. </w:t>
      </w:r>
      <w:r w:rsidR="002B050D" w:rsidRPr="0096365A">
        <w:rPr>
          <w:b/>
        </w:rPr>
        <w:t>1</w:t>
      </w:r>
      <w:r w:rsidR="00B60984" w:rsidRPr="0096365A">
        <w:rPr>
          <w:b/>
        </w:rPr>
        <w:t>4</w:t>
      </w:r>
      <w:r w:rsidRPr="0096365A">
        <w:rPr>
          <w:b/>
        </w:rPr>
        <w:t>.00.</w:t>
      </w:r>
    </w:p>
    <w:p w:rsidR="003B61C8" w:rsidRPr="0096365A" w:rsidRDefault="003B61C8" w:rsidP="00AE70BD">
      <w:pPr>
        <w:widowControl/>
        <w:numPr>
          <w:ilvl w:val="2"/>
          <w:numId w:val="1"/>
        </w:numPr>
        <w:tabs>
          <w:tab w:val="num" w:pos="2880"/>
        </w:tabs>
        <w:spacing w:before="240"/>
        <w:jc w:val="both"/>
      </w:pPr>
      <w:r w:rsidRPr="0096365A">
        <w:t>Piedāvājumi, kas nav iesniegti noteiktajā kārtībā, nav noformēti tā, lai piedāvājumā</w:t>
      </w:r>
    </w:p>
    <w:p w:rsidR="003B61C8" w:rsidRPr="0096365A" w:rsidRDefault="003B61C8" w:rsidP="003B61C8">
      <w:pPr>
        <w:widowControl/>
        <w:ind w:left="720"/>
        <w:jc w:val="both"/>
      </w:pPr>
      <w:r w:rsidRPr="0096365A">
        <w:t>iekļautā informācija nebūtu pieejama līdz piedāvājuma atvēršanas brīdim, vai kas saņemti pēc norādītā ies</w:t>
      </w:r>
      <w:r w:rsidR="0091445F" w:rsidRPr="0096365A">
        <w:t>niegšanas termiņa, netiek izska</w:t>
      </w:r>
      <w:r w:rsidRPr="0096365A">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96365A">
        <w:rPr>
          <w:b/>
        </w:rPr>
        <w:t xml:space="preserve">Piedāvājumi tiks atvērti </w:t>
      </w:r>
      <w:r w:rsidRPr="0096365A">
        <w:t xml:space="preserve">Aizkraukles ielā 21, 2. stāva pārrunu zālē, Rīgā, </w:t>
      </w:r>
      <w:r w:rsidR="007D1C32" w:rsidRPr="0096365A">
        <w:rPr>
          <w:b/>
        </w:rPr>
        <w:t>201</w:t>
      </w:r>
      <w:r w:rsidR="00B30E61" w:rsidRPr="0096365A">
        <w:rPr>
          <w:b/>
        </w:rPr>
        <w:t>7</w:t>
      </w:r>
      <w:r w:rsidRPr="0096365A">
        <w:rPr>
          <w:b/>
        </w:rPr>
        <w:t xml:space="preserve">. gada </w:t>
      </w:r>
      <w:r w:rsidR="00D337D7" w:rsidRPr="0096365A">
        <w:rPr>
          <w:b/>
        </w:rPr>
        <w:t>18</w:t>
      </w:r>
      <w:r w:rsidR="00DF6A36" w:rsidRPr="0096365A">
        <w:rPr>
          <w:b/>
        </w:rPr>
        <w:t>.</w:t>
      </w:r>
      <w:r w:rsidR="00AE4267" w:rsidRPr="0096365A">
        <w:rPr>
          <w:b/>
        </w:rPr>
        <w:t> </w:t>
      </w:r>
      <w:r w:rsidR="007A79FE" w:rsidRPr="0096365A">
        <w:rPr>
          <w:b/>
        </w:rPr>
        <w:t>jū</w:t>
      </w:r>
      <w:r w:rsidR="00D337D7" w:rsidRPr="0096365A">
        <w:rPr>
          <w:b/>
        </w:rPr>
        <w:t>l</w:t>
      </w:r>
      <w:r w:rsidR="00B30E61" w:rsidRPr="0096365A">
        <w:rPr>
          <w:b/>
        </w:rPr>
        <w:t>ijā</w:t>
      </w:r>
      <w:r w:rsidRPr="0096365A">
        <w:rPr>
          <w:b/>
        </w:rPr>
        <w:t xml:space="preserve">, plkst. </w:t>
      </w:r>
      <w:r w:rsidR="00BB5E2C" w:rsidRPr="0096365A">
        <w:rPr>
          <w:b/>
        </w:rPr>
        <w:t>1</w:t>
      </w:r>
      <w:r w:rsidR="00797098" w:rsidRPr="0096365A">
        <w:rPr>
          <w:b/>
        </w:rPr>
        <w:t>4</w:t>
      </w:r>
      <w:r w:rsidRPr="0096365A">
        <w:rPr>
          <w:b/>
        </w:rPr>
        <w:t>.00.</w:t>
      </w:r>
      <w:r w:rsidRPr="0096365A">
        <w:t xml:space="preserve"> Konkursa piedāvājumu atvēršanā var piedalīties visas ieinteresētās personas, uzrādot personu apliecinošu dokumentu. Visu dalībnieku vārdi un ieņemamie amati</w:t>
      </w:r>
      <w:r w:rsidRPr="001C61D6">
        <w:t xml:space="preserve">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1C61D6">
        <w:lastRenderedPageBreak/>
        <w:t>Pretendenti drīkst atsaukt vai izdarīt labojumus iesniegtajā piedāvājumā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4B4FAF">
        <w:rPr>
          <w:b/>
        </w:rPr>
        <w:t>U</w:t>
      </w:r>
      <w:r w:rsidR="003F7ECD" w:rsidRPr="003F7ECD">
        <w:rPr>
          <w:b/>
        </w:rPr>
        <w:t xml:space="preserve">gunsdrošo </w:t>
      </w:r>
      <w:r w:rsidR="004B4FAF">
        <w:rPr>
          <w:b/>
        </w:rPr>
        <w:t xml:space="preserve">šķīdinātāju </w:t>
      </w:r>
      <w:r w:rsidR="003F7ECD" w:rsidRPr="003F7ECD">
        <w:rPr>
          <w:b/>
        </w:rPr>
        <w:t>skapju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OSI 2017/09</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lastRenderedPageBreak/>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INFORMĀCIJA_PAR_IEPIRKUMA_PRIEKŠMETU_2"/>
      <w:bookmarkStart w:id="24" w:name="_Toc48417574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4"/>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6B5DFA">
        <w:t>ugunsdrošo šķīdinātājus skapju</w:t>
      </w:r>
      <w:r>
        <w:t xml:space="preserve"> </w:t>
      </w:r>
      <w:r w:rsidRPr="009C1C07">
        <w:t>piegāde</w:t>
      </w:r>
      <w:r w:rsidR="0041616E">
        <w:t xml:space="preserve"> </w:t>
      </w:r>
      <w:r w:rsidR="0041616E" w:rsidRPr="0041616E">
        <w:t>un saistīto pakalpojumu sniegšana</w:t>
      </w:r>
      <w:r w:rsidRPr="009C1C07">
        <w:t xml:space="preserve"> Latvijas Organiskās sintēzes institūtam ERAF līdzfinansētā projekta </w:t>
      </w:r>
      <w:r w:rsidRPr="00EC711D">
        <w:t>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A81AD1">
        <w:t xml:space="preserve"> par vienu vai vairākām</w:t>
      </w:r>
      <w:r w:rsidR="00E66A54">
        <w:t>,</w:t>
      </w:r>
      <w:r w:rsidR="00A81AD1">
        <w:t xml:space="preserve"> </w:t>
      </w:r>
      <w:r w:rsidR="00E66A54">
        <w:t>vai visām daļām</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8C7D8B" w:rsidP="00124B29">
      <w:pPr>
        <w:ind w:left="360"/>
        <w:jc w:val="both"/>
        <w:rPr>
          <w:bCs/>
          <w:caps/>
        </w:rPr>
      </w:pPr>
      <w:r w:rsidRPr="008C7D8B">
        <w:rPr>
          <w:bCs/>
        </w:rPr>
        <w:t xml:space="preserve">Tiks slēgts viens iepirkuma līgums visu </w:t>
      </w:r>
      <w:r w:rsidR="003C267D">
        <w:rPr>
          <w:bCs/>
        </w:rPr>
        <w:t xml:space="preserve">iepirkuma </w:t>
      </w:r>
      <w:r w:rsidRPr="008C7D8B">
        <w:rPr>
          <w:bCs/>
        </w:rPr>
        <w:t>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AF6ED5" w:rsidRPr="00AF6ED5">
        <w:t xml:space="preserve"> izpildes laiks ir 5 (pieci) mēneši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rsidR="00BB6434">
        <w:t>preču</w:t>
      </w:r>
      <w:r w:rsidRPr="0030746D">
        <w:t xml:space="preserve"> pieņemšanas-nodošanas akta 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lastRenderedPageBreak/>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PRETENDENTU_ATLASES_PRASĪBAS_3"/>
      <w:bookmarkStart w:id="28" w:name="_Toc484175743"/>
      <w:r w:rsidRPr="00A66533">
        <w:rPr>
          <w:bCs/>
          <w:caps/>
        </w:rPr>
        <w:t>Pretendentu izslēgšanas nosacījumi, ATLASES UN KVALIFIKĀCIJAS PRASĪBAS</w:t>
      </w:r>
      <w:bookmarkEnd w:id="25"/>
      <w:bookmarkEnd w:id="26"/>
      <w:bookmarkEnd w:id="28"/>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 xml:space="preserve">panta </w:t>
      </w:r>
      <w:r>
        <w:lastRenderedPageBreak/>
        <w:t>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824BF6" w:rsidRPr="0041616E" w:rsidRDefault="00824BF6" w:rsidP="00824BF6">
      <w:pPr>
        <w:numPr>
          <w:ilvl w:val="2"/>
          <w:numId w:val="1"/>
        </w:numPr>
        <w:spacing w:after="240"/>
        <w:jc w:val="both"/>
      </w:pPr>
      <w:r w:rsidRPr="0041616E">
        <w:t>Pretendents vismaz vienu reizi ir veicis piedāvātajām precēm līdzīgu (pēc funkcionalitātes un pielietojuma) preču piegādi un uzstādīšanu ne agrāk kā pēdējo trīs kalendāro gadu laikā (</w:t>
      </w:r>
      <w:r w:rsidR="0041616E" w:rsidRPr="0041616E">
        <w:t>2014., 2015</w:t>
      </w:r>
      <w:r w:rsidRPr="0041616E">
        <w:t>.</w:t>
      </w:r>
      <w:r w:rsidR="0041616E" w:rsidRPr="0041616E">
        <w:t>, 2016. un 2017</w:t>
      </w:r>
      <w:r w:rsidRPr="0041616E">
        <w:t xml:space="preserve">. gadi) par summu, kas nav mazāka par </w:t>
      </w:r>
      <w:r w:rsidR="0041616E" w:rsidRPr="0041616E">
        <w:t xml:space="preserve">vienu pusi no </w:t>
      </w:r>
      <w:r w:rsidR="009B27BB">
        <w:t>šī</w:t>
      </w:r>
      <w:r w:rsidRPr="0041616E">
        <w:t xml:space="preserve"> iepirkum</w:t>
      </w:r>
      <w:r w:rsidR="009B27BB">
        <w:t>a paredzamās līgumcenas. (Šim iepirkumam paredzamā līgumcena ir EUR 70 000,00)</w:t>
      </w:r>
      <w:r w:rsidRPr="0041616E">
        <w:t>.</w:t>
      </w:r>
    </w:p>
    <w:p w:rsidR="00824BF6" w:rsidRPr="0041616E" w:rsidRDefault="00824BF6" w:rsidP="00824BF6">
      <w:pPr>
        <w:numPr>
          <w:ilvl w:val="2"/>
          <w:numId w:val="1"/>
        </w:numPr>
        <w:spacing w:after="240"/>
        <w:jc w:val="both"/>
      </w:pPr>
      <w:r w:rsidRPr="0041616E">
        <w:t xml:space="preserve">Pretendents ir saņēmis vismaz vienu pozitīvu atsauksmi no pasūtītāja, kam tas ir piegādājis līdzīgas (pēc funkcionalitātes un pielietojuma) preces un veicis to uzstādīšanu ne agrāk kā pēdējo trīs kalendāro gadu laikā </w:t>
      </w:r>
      <w:r w:rsidR="0041616E" w:rsidRPr="0041616E">
        <w:t>(2014., 2015., 2016. un 2017</w:t>
      </w:r>
      <w:r w:rsidRPr="0041616E">
        <w:t>. gadi) par summu, kas nav mazāka par</w:t>
      </w:r>
      <w:r w:rsidR="0041616E" w:rsidRPr="0041616E">
        <w:t xml:space="preserve"> vienu pusi no</w:t>
      </w:r>
      <w:r w:rsidRPr="0041616E">
        <w:t xml:space="preserve"> </w:t>
      </w:r>
      <w:r w:rsidR="00D51DB1" w:rsidRPr="00D51DB1">
        <w:t>šī iepirkuma paredzamās līgumcenas</w:t>
      </w:r>
      <w:r w:rsidRPr="0041616E">
        <w:t>.</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264342" w:rsidRPr="00EE0212" w:rsidRDefault="009774D5" w:rsidP="00BB0A63">
      <w:pPr>
        <w:numPr>
          <w:ilvl w:val="2"/>
          <w:numId w:val="1"/>
        </w:numPr>
        <w:spacing w:after="240"/>
        <w:jc w:val="both"/>
      </w:pPr>
      <w:r w:rsidRPr="00882638">
        <w:t xml:space="preserve">Pretendenta </w:t>
      </w:r>
      <w:r w:rsidRPr="00882638">
        <w:rPr>
          <w:u w:val="single"/>
        </w:rPr>
        <w:t>vidējais</w:t>
      </w:r>
      <w:r w:rsidRPr="00882638">
        <w:t xml:space="preserve"> apgrozījums pēdējo trīs </w:t>
      </w:r>
      <w:r w:rsidRPr="00EE0212">
        <w:t>kalendāro gadu periodā (t.i. 2014., 2015. un 2016. gados) ir</w:t>
      </w:r>
      <w:r w:rsidR="00FE6A58">
        <w:t xml:space="preserve"> </w:t>
      </w:r>
      <w:r w:rsidR="00FE6A58" w:rsidRPr="00FE6A58">
        <w:t>ne mazāks kā EUR 100 000,00 (viens simts tūkstoši eiro 00 centu) gadā.</w:t>
      </w:r>
    </w:p>
    <w:p w:rsidR="009774D5" w:rsidRPr="00BB0A63" w:rsidRDefault="009774D5" w:rsidP="00FE6A58">
      <w:pPr>
        <w:spacing w:after="240"/>
        <w:ind w:left="709"/>
        <w:jc w:val="both"/>
      </w:pPr>
      <w:r w:rsidRPr="00FE6A58">
        <w:rPr>
          <w:i/>
        </w:rPr>
        <w:t xml:space="preserve">Ja pretendents dibināts 2014. gadā vai vēlāk, vidējam apgrozījumam </w:t>
      </w:r>
      <w:r w:rsidR="00E97B17" w:rsidRPr="00FE6A58">
        <w:rPr>
          <w:i/>
        </w:rPr>
        <w:t xml:space="preserve">gadā </w:t>
      </w:r>
      <w:r w:rsidRPr="00FE6A58">
        <w:rPr>
          <w:i/>
        </w:rPr>
        <w:t xml:space="preserve">no dibināšanas brīža līdz 2016. gada </w:t>
      </w:r>
      <w:r w:rsidR="00E91ACD" w:rsidRPr="00FE6A58">
        <w:rPr>
          <w:i/>
        </w:rPr>
        <w:t xml:space="preserve">beigām jābūt ne mazākam kā </w:t>
      </w:r>
      <w:r w:rsidR="0041616E" w:rsidRPr="00FE6A58">
        <w:rPr>
          <w:i/>
        </w:rPr>
        <w:t>norādīts</w:t>
      </w:r>
      <w:r w:rsidR="00FE6A58">
        <w:rPr>
          <w:i/>
        </w:rPr>
        <w:t xml:space="preserve"> 3.3.5.punkta</w:t>
      </w:r>
      <w:r w:rsidR="0041616E" w:rsidRPr="00FE6A58">
        <w:rPr>
          <w:i/>
        </w:rPr>
        <w:t xml:space="preserve"> prasībās</w:t>
      </w:r>
      <w:r w:rsidR="00E97B17" w:rsidRPr="00FE6A58">
        <w:rPr>
          <w:i/>
        </w:rPr>
        <w:t>.</w:t>
      </w:r>
    </w:p>
    <w:p w:rsidR="00BB0A63" w:rsidRPr="00824BF6" w:rsidRDefault="00BB0A63" w:rsidP="00D805EE">
      <w:pPr>
        <w:numPr>
          <w:ilvl w:val="2"/>
          <w:numId w:val="1"/>
        </w:numPr>
        <w:jc w:val="both"/>
      </w:pPr>
      <w:r>
        <w:t>Ja pretendents ir personu apvienība, tad vismaz vienam apvienības dalībniekam jābūt atbilstošam</w:t>
      </w:r>
      <w:r w:rsidR="0001439D">
        <w:t xml:space="preserve"> visām</w:t>
      </w:r>
      <w:r>
        <w:t xml:space="preserve"> kvalifikācijas prasību 3.3.1. līdz </w:t>
      </w:r>
      <w:r w:rsidR="00FE6A58">
        <w:t>3.3.2</w:t>
      </w:r>
      <w:r w:rsidR="0001439D">
        <w:t>.punktos minētajām prasībām. Attiecībā uz apgrozījuma prasību – apvienības kopējam</w:t>
      </w:r>
      <w:r w:rsidR="00E97B17">
        <w:t xml:space="preserve"> apgrozījumam jābūt vismaz 3.3.5</w:t>
      </w:r>
      <w:r w:rsidR="0001439D">
        <w:t>.punktā minētajā līmenī.</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IESNIEDZAMIE_DOKUMENTI_4"/>
      <w:bookmarkStart w:id="30" w:name="_Toc484175744"/>
      <w:r w:rsidRPr="00A66533">
        <w:rPr>
          <w:caps/>
        </w:rPr>
        <w:lastRenderedPageBreak/>
        <w:t>Iesniedzamie dokumenti</w:t>
      </w:r>
      <w:bookmarkEnd w:id="30"/>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piedāvātajām precēm līdzīgu (pēc funkcionalitātes un pielietojuma) preču piegādes gadījumu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w:t>
      </w:r>
      <w:r w:rsidR="00DA681A" w:rsidRPr="00DA681A">
        <w:t>šī iepirkuma paredzamās līgumcenas. (Šim iepirkumam paredzamā līgumcena ir EUR 70 000,00).</w:t>
      </w:r>
      <w:r w:rsidRPr="00E97B17">
        <w:t xml:space="preserve"> Apliecinājumā jānorāda:</w:t>
      </w:r>
    </w:p>
    <w:p w:rsidR="00BB0A63" w:rsidRPr="00E97B17" w:rsidRDefault="00BB0A63" w:rsidP="0001439D">
      <w:pPr>
        <w:pStyle w:val="ListParagraph"/>
        <w:numPr>
          <w:ilvl w:val="0"/>
          <w:numId w:val="13"/>
        </w:numPr>
        <w:jc w:val="both"/>
      </w:pPr>
      <w:r w:rsidRPr="00E97B17">
        <w:t>piegādāto preču nosaukumi;</w:t>
      </w:r>
    </w:p>
    <w:p w:rsidR="00BB0A63" w:rsidRPr="00E97B17" w:rsidRDefault="00BB0A63" w:rsidP="0001439D">
      <w:pPr>
        <w:pStyle w:val="ListParagraph"/>
        <w:numPr>
          <w:ilvl w:val="0"/>
          <w:numId w:val="13"/>
        </w:numPr>
        <w:jc w:val="both"/>
      </w:pPr>
      <w:r w:rsidRPr="00E97B17">
        <w:t>piegādāto preču kopējā vērtība (cena);</w:t>
      </w:r>
    </w:p>
    <w:p w:rsidR="00BB0A63" w:rsidRPr="00E97B17" w:rsidRDefault="00BB0A63" w:rsidP="0001439D">
      <w:pPr>
        <w:pStyle w:val="ListParagraph"/>
        <w:numPr>
          <w:ilvl w:val="0"/>
          <w:numId w:val="13"/>
        </w:numPr>
        <w:jc w:val="both"/>
      </w:pPr>
      <w:r w:rsidRPr="00E97B17">
        <w:lastRenderedPageBreak/>
        <w:t>ar piegādātajām precēm saistīto sniegto pakalpojumu veidi;</w:t>
      </w:r>
    </w:p>
    <w:p w:rsidR="00BB0A63" w:rsidRPr="00E97B17" w:rsidRDefault="00BB0A63" w:rsidP="0001439D">
      <w:pPr>
        <w:pStyle w:val="ListParagraph"/>
        <w:numPr>
          <w:ilvl w:val="0"/>
          <w:numId w:val="13"/>
        </w:numPr>
        <w:spacing w:after="240"/>
        <w:jc w:val="both"/>
      </w:pPr>
      <w:r w:rsidRPr="00E97B17">
        <w:t>piegādāto preču saņēmēju nosaukumi un to adreses.</w:t>
      </w:r>
    </w:p>
    <w:p w:rsidR="00BB0A63" w:rsidRPr="00E97B17" w:rsidRDefault="00BB0A63" w:rsidP="00BB0A63">
      <w:pPr>
        <w:numPr>
          <w:ilvl w:val="2"/>
          <w:numId w:val="1"/>
        </w:numPr>
        <w:spacing w:after="240"/>
        <w:jc w:val="both"/>
      </w:pPr>
      <w:r w:rsidRPr="00E97B17">
        <w:t>Vismaz viena pozitīva atsauksme no pasūtītāja, kam Pretendents ir piegādājis līdzīgas (pēc funkcionalitātes un pielietojuma) preces un veicis to uzstādīšanu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00DA681A">
        <w:t xml:space="preserve"> </w:t>
      </w:r>
      <w:r w:rsidR="00DA681A" w:rsidRPr="00DA681A">
        <w:t xml:space="preserve">šī </w:t>
      </w:r>
      <w:r w:rsidR="00DA681A">
        <w:t>iepirkuma paredzamās līgumcenas</w:t>
      </w:r>
      <w:r w:rsidRPr="00E97B17">
        <w:t>.</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BB0A63" w:rsidRPr="00E97B17" w:rsidRDefault="00BB0A63" w:rsidP="00BB0A63">
      <w:pPr>
        <w:numPr>
          <w:ilvl w:val="2"/>
          <w:numId w:val="1"/>
        </w:numPr>
        <w:spacing w:before="240" w:after="240"/>
        <w:jc w:val="both"/>
        <w:rPr>
          <w:b/>
        </w:rPr>
      </w:pPr>
      <w:r w:rsidRPr="00E97B17">
        <w:t xml:space="preserve">Pretendenta sagatavota izziņa par apgrozījumu pēdējo trīs gadu periodā (t.i. 2014. un 2015. un 2016. gados). </w:t>
      </w:r>
      <w:r w:rsidRPr="00E97B17">
        <w:rPr>
          <w:i/>
        </w:rPr>
        <w:t>Ja pretendents dibināts 2014. gadā vai vēlāk, tas iesniedz izziņu par apgrozījumu no dibināšanas brīža.</w:t>
      </w:r>
    </w:p>
    <w:p w:rsidR="00BB0A63" w:rsidRPr="00E97B17" w:rsidRDefault="00BB0A63" w:rsidP="00BB0A63">
      <w:pPr>
        <w:numPr>
          <w:ilvl w:val="2"/>
          <w:numId w:val="1"/>
        </w:numPr>
        <w:spacing w:after="240"/>
        <w:jc w:val="both"/>
      </w:pPr>
      <w:r w:rsidRPr="00E97B17">
        <w:t xml:space="preserve">Pretendenta peļņas/zaudējumu aprēķinu par 2014., 2015. un 2016. gadiem. </w:t>
      </w:r>
      <w:r w:rsidRPr="00E97B17">
        <w:rPr>
          <w:i/>
        </w:rPr>
        <w:t>Ja pretendents dibināts 2014. gadā vai vēlāk, tas iesniedz pārskatus sākot no dibināšanas gada.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E97B17">
        <w:t xml:space="preserve"> līdz 4.2.6</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lastRenderedPageBreak/>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 xml:space="preserve">Šis nosacījums neattiecas uz prasībām par savietojamību ar Pasūtītāja īpašumā esošām iekārtām; savietojamība, ja tāda prasīta tehniskajās specifikācijās, </w:t>
      </w:r>
      <w:r w:rsidR="00874B21" w:rsidRPr="00A66533">
        <w:rPr>
          <w:i/>
          <w:u w:val="single"/>
        </w:rPr>
        <w:lastRenderedPageBreak/>
        <w:t>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PIEDĀVĀJUMA_VĒRT_UN_IZV_KRITĒRIJI_5"/>
      <w:bookmarkStart w:id="32" w:name="_Toc484175745"/>
      <w:r w:rsidRPr="00A66533">
        <w:rPr>
          <w:bCs/>
          <w:caps/>
        </w:rPr>
        <w:t>Piedāvājuma vērtēšanas un izvēles kritēriji</w:t>
      </w:r>
      <w:bookmarkEnd w:id="32"/>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lastRenderedPageBreak/>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IEPIRKUMA_LĪGUMS_6"/>
      <w:bookmarkStart w:id="34" w:name="_Toc484175746"/>
      <w:r w:rsidRPr="00A66533">
        <w:rPr>
          <w:caps/>
        </w:rPr>
        <w:t>Iepirkuma līgums</w:t>
      </w:r>
      <w:bookmarkEnd w:id="34"/>
    </w:p>
    <w:bookmarkEnd w:id="33"/>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lastRenderedPageBreak/>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IEPIRKUMA_KOMISIJAS_TIES_PIEN_7"/>
      <w:bookmarkStart w:id="36" w:name="_Toc484175747"/>
      <w:r w:rsidRPr="00A66533">
        <w:rPr>
          <w:caps/>
        </w:rPr>
        <w:t>Iepirkuma komisijas tiesības un pienākumi</w:t>
      </w:r>
      <w:bookmarkEnd w:id="36"/>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lastRenderedPageBreak/>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PRETENDENTA_TIES_PIEN_8"/>
      <w:bookmarkStart w:id="38" w:name="_Toc484175748"/>
      <w:r w:rsidRPr="00A66533">
        <w:rPr>
          <w:caps/>
        </w:rPr>
        <w:t>Pretendenta tiesības un pienākumi</w:t>
      </w:r>
      <w:bookmarkEnd w:id="38"/>
    </w:p>
    <w:bookmarkEnd w:id="37"/>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lastRenderedPageBreak/>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84175749"/>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w:t>
      </w:r>
      <w:r w:rsidR="00E7621D" w:rsidRPr="00882638">
        <w:lastRenderedPageBreak/>
        <w:t xml:space="preserve">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TEHNISKĀS_SPECIFIKĀCIJAS_II"/>
      <w:bookmarkStart w:id="43" w:name="_Toc484175750"/>
      <w:r w:rsidRPr="00A66533">
        <w:rPr>
          <w:rFonts w:ascii="Times New Roman" w:hAnsi="Times New Roman" w:cs="Times New Roman"/>
          <w:lang w:val="lv-LV"/>
        </w:rPr>
        <w:t>TEHNISKĀS  SPECIFIKĀCIJAS</w:t>
      </w:r>
      <w:bookmarkEnd w:id="41"/>
      <w:bookmarkEnd w:id="43"/>
    </w:p>
    <w:bookmarkEnd w:id="42"/>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VISPĀRĒJA_INFORMĀCIJA_II_1"/>
      <w:bookmarkStart w:id="46" w:name="_Toc484175751"/>
      <w:r w:rsidRPr="00A66533">
        <w:lastRenderedPageBreak/>
        <w:t>VISPĀRĒJA INFORMĀCIJA</w:t>
      </w:r>
      <w:bookmarkEnd w:id="44"/>
      <w:bookmarkEnd w:id="46"/>
    </w:p>
    <w:bookmarkEnd w:id="45"/>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institūts vēlas iegādāties ugunsdrošos</w:t>
      </w:r>
      <w:r w:rsidR="000C18E7">
        <w:t xml:space="preserve"> šķīdinātāju </w:t>
      </w:r>
      <w:r w:rsidRPr="00E97B17">
        <w:t xml:space="preserve">skapjus ERAF līdzfinansētā projekta  </w:t>
      </w:r>
      <w:r w:rsidR="00E97B17" w:rsidRPr="00E97B17">
        <w:t xml:space="preserve">SAM 1.1.1.4. aktivitātes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633302" w:rsidRPr="00CF6C2F" w:rsidRDefault="00633302" w:rsidP="00633302">
      <w:pPr>
        <w:ind w:left="567"/>
        <w:jc w:val="both"/>
        <w:rPr>
          <w:b/>
          <w:u w:val="single"/>
        </w:rPr>
      </w:pPr>
      <w:r w:rsidRPr="00CF6C2F">
        <w:rPr>
          <w:b/>
          <w:u w:val="single"/>
        </w:rPr>
        <w:t>Preču uzstādīšanas nosacījumi</w:t>
      </w:r>
    </w:p>
    <w:p w:rsidR="00633302" w:rsidRPr="00CF6C2F" w:rsidRDefault="00633302" w:rsidP="00633302">
      <w:pPr>
        <w:jc w:val="both"/>
      </w:pPr>
      <w:r w:rsidRPr="00CF6C2F">
        <w:t>Preču uzstādīšanas shematiskie attēli pievienoti iepirkuma Nolikumam kā pielikums:</w:t>
      </w:r>
    </w:p>
    <w:p w:rsidR="00633302" w:rsidRPr="00CF6C2F" w:rsidRDefault="00633302" w:rsidP="00633302">
      <w:pPr>
        <w:pStyle w:val="ListParagraph"/>
        <w:numPr>
          <w:ilvl w:val="0"/>
          <w:numId w:val="17"/>
        </w:numPr>
        <w:jc w:val="both"/>
      </w:pPr>
      <w:r w:rsidRPr="00CF6C2F">
        <w:t>Pielikums Nr. 1: Mēbeļu izvietojums OSI esošajā korpusā.</w:t>
      </w:r>
    </w:p>
    <w:p w:rsidR="00110073" w:rsidRPr="00CF6C2F" w:rsidRDefault="00110073" w:rsidP="00110073">
      <w:pPr>
        <w:jc w:val="both"/>
      </w:pPr>
    </w:p>
    <w:p w:rsidR="008D14B6" w:rsidRPr="00CF6C2F" w:rsidRDefault="008D14B6" w:rsidP="00110073">
      <w:pPr>
        <w:jc w:val="both"/>
      </w:pPr>
      <w:r w:rsidRPr="00CF6C2F">
        <w:br w:type="page"/>
      </w:r>
    </w:p>
    <w:p w:rsidR="002317F3" w:rsidRDefault="002317F3" w:rsidP="002317F3">
      <w:pPr>
        <w:widowControl/>
        <w:jc w:val="center"/>
        <w:rPr>
          <w:b/>
        </w:rPr>
      </w:pP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84175752"/>
      <w:r w:rsidRPr="00DE1765">
        <w:rPr>
          <w:sz w:val="28"/>
          <w:szCs w:val="28"/>
        </w:rPr>
        <w:t>TEHNISKĀS SPECIFIKĀCIJAS</w:t>
      </w:r>
      <w:bookmarkEnd w:id="47"/>
    </w:p>
    <w:p w:rsidR="002317F3" w:rsidRDefault="002317F3">
      <w:pPr>
        <w:widowControl/>
        <w:rPr>
          <w:b/>
        </w:rPr>
      </w:pPr>
    </w:p>
    <w:p w:rsidR="00B56C78" w:rsidRDefault="00B56C78">
      <w:pPr>
        <w:widowControl/>
        <w:rPr>
          <w:b/>
        </w:rPr>
      </w:pPr>
    </w:p>
    <w:p w:rsidR="00B56C78" w:rsidRDefault="00B56C78">
      <w:pPr>
        <w:widowControl/>
        <w:rPr>
          <w:b/>
        </w:rPr>
      </w:pPr>
    </w:p>
    <w:p w:rsidR="002317F3" w:rsidRDefault="002317F3">
      <w:pPr>
        <w:widowControl/>
        <w:rPr>
          <w:b/>
        </w:rPr>
      </w:pPr>
    </w:p>
    <w:p w:rsidR="00333A97" w:rsidRPr="00633302" w:rsidRDefault="00633302" w:rsidP="001B788F">
      <w:pPr>
        <w:pStyle w:val="ListParagraph"/>
        <w:numPr>
          <w:ilvl w:val="0"/>
          <w:numId w:val="16"/>
        </w:numPr>
        <w:tabs>
          <w:tab w:val="left" w:pos="284"/>
        </w:tabs>
        <w:ind w:left="0" w:firstLine="0"/>
        <w:jc w:val="center"/>
        <w:outlineLvl w:val="1"/>
        <w:rPr>
          <w:caps/>
          <w:sz w:val="28"/>
          <w:szCs w:val="28"/>
          <w:u w:val="single"/>
        </w:rPr>
      </w:pPr>
      <w:bookmarkStart w:id="48" w:name="_Toc484175753"/>
      <w:r w:rsidRPr="00633302">
        <w:rPr>
          <w:b/>
          <w:caps/>
          <w:sz w:val="28"/>
          <w:szCs w:val="28"/>
        </w:rPr>
        <w:t>LOTE</w:t>
      </w:r>
      <w:bookmarkEnd w:id="48"/>
    </w:p>
    <w:p w:rsidR="00B56C78" w:rsidRPr="009110F4" w:rsidRDefault="00264342" w:rsidP="001B788F">
      <w:pPr>
        <w:tabs>
          <w:tab w:val="left" w:pos="284"/>
        </w:tabs>
        <w:jc w:val="center"/>
        <w:outlineLvl w:val="1"/>
      </w:pPr>
      <w:bookmarkStart w:id="49" w:name="_Toc480794236"/>
      <w:bookmarkStart w:id="50" w:name="_Toc484175754"/>
      <w:r w:rsidRPr="009110F4">
        <w:rPr>
          <w:b/>
          <w:sz w:val="28"/>
          <w:szCs w:val="28"/>
        </w:rPr>
        <w:t>Ugunsdrošo šķīdinātāju skapju piegāde</w:t>
      </w:r>
      <w:bookmarkEnd w:id="49"/>
      <w:bookmarkEnd w:id="50"/>
    </w:p>
    <w:p w:rsidR="004E5515" w:rsidRDefault="004E5515" w:rsidP="00B56C78">
      <w:pPr>
        <w:jc w:val="center"/>
      </w:pPr>
    </w:p>
    <w:p w:rsidR="00B56C78" w:rsidRDefault="00B56C78" w:rsidP="00B56C78"/>
    <w:p w:rsidR="00B56C78" w:rsidRDefault="00B56C78" w:rsidP="00B56C78"/>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2194"/>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DF2D9F">
            <w:pPr>
              <w:autoSpaceDE w:val="0"/>
              <w:autoSpaceDN w:val="0"/>
              <w:adjustRightInd w:val="0"/>
              <w:spacing w:line="256" w:lineRule="auto"/>
              <w:jc w:val="center"/>
              <w:rPr>
                <w:sz w:val="22"/>
                <w:szCs w:val="22"/>
              </w:rPr>
            </w:pPr>
            <w:r>
              <w:rPr>
                <w:sz w:val="22"/>
                <w:szCs w:val="22"/>
              </w:rPr>
              <w:t>29</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Skapja ugunsizturībai jābūt vismaz 90 minūtes. Reaģentu skapim jābūt zemējuma pieslēguma vietai.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EB0D97" w:rsidP="00110073">
            <w:pPr>
              <w:spacing w:line="256" w:lineRule="auto"/>
              <w:rPr>
                <w:sz w:val="22"/>
                <w:szCs w:val="22"/>
              </w:rPr>
            </w:pPr>
            <w:r>
              <w:rPr>
                <w:sz w:val="22"/>
                <w:szCs w:val="22"/>
              </w:rPr>
              <w:t>Platums: 600 mm +/- 5</w:t>
            </w:r>
            <w:r w:rsidR="00B56C78">
              <w:rPr>
                <w:sz w:val="22"/>
                <w:szCs w:val="22"/>
              </w:rPr>
              <w:t>0 mm</w:t>
            </w:r>
          </w:p>
          <w:p w:rsidR="00B56C78" w:rsidRDefault="00EB0D97" w:rsidP="00110073">
            <w:pPr>
              <w:spacing w:line="256" w:lineRule="auto"/>
              <w:rPr>
                <w:sz w:val="22"/>
                <w:szCs w:val="22"/>
              </w:rPr>
            </w:pPr>
            <w:r>
              <w:rPr>
                <w:sz w:val="22"/>
                <w:szCs w:val="22"/>
              </w:rPr>
              <w:t>Dziļums:  600 mm +/- 5</w:t>
            </w:r>
            <w:r w:rsidR="00B56C78">
              <w:rPr>
                <w:sz w:val="22"/>
                <w:szCs w:val="22"/>
              </w:rPr>
              <w:t>0 mm</w:t>
            </w:r>
          </w:p>
          <w:p w:rsidR="00B56C78" w:rsidRDefault="00B56C78" w:rsidP="00110073">
            <w:pPr>
              <w:spacing w:line="256" w:lineRule="auto"/>
              <w:rPr>
                <w:sz w:val="22"/>
                <w:szCs w:val="22"/>
              </w:rPr>
            </w:pPr>
            <w:r>
              <w:rPr>
                <w:sz w:val="22"/>
                <w:szCs w:val="22"/>
              </w:rPr>
              <w:t>Augstums: 1</w:t>
            </w:r>
            <w:r w:rsidR="00EB0D97">
              <w:rPr>
                <w:sz w:val="22"/>
                <w:szCs w:val="22"/>
              </w:rPr>
              <w:t>950 mm +/- 10</w:t>
            </w:r>
            <w:r>
              <w:rPr>
                <w:sz w:val="22"/>
                <w:szCs w:val="22"/>
              </w:rPr>
              <w:t>0 mm</w:t>
            </w:r>
          </w:p>
          <w:p w:rsidR="00B56C78" w:rsidRDefault="00B56C78" w:rsidP="00110073">
            <w:pPr>
              <w:spacing w:line="256" w:lineRule="auto"/>
              <w:rPr>
                <w:sz w:val="22"/>
                <w:szCs w:val="22"/>
              </w:rPr>
            </w:pPr>
            <w:r>
              <w:rPr>
                <w:sz w:val="22"/>
                <w:szCs w:val="22"/>
              </w:rPr>
              <w:t xml:space="preserve">Skapis ar 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CF1180" w:rsidP="00110073">
            <w:pPr>
              <w:spacing w:line="256" w:lineRule="auto"/>
              <w:rPr>
                <w:sz w:val="22"/>
                <w:szCs w:val="22"/>
              </w:rPr>
            </w:pPr>
            <w:r>
              <w:rPr>
                <w:sz w:val="22"/>
                <w:szCs w:val="22"/>
              </w:rPr>
              <w:t>V</w:t>
            </w:r>
            <w:r w:rsidR="00B56C78" w:rsidRPr="00C46035">
              <w:rPr>
                <w:sz w:val="22"/>
                <w:szCs w:val="22"/>
              </w:rPr>
              <w:t>ismaz 5 pilnīgi  izvelkami plaukti; divu apakšējo</w:t>
            </w:r>
            <w:r w:rsidR="00B56C78">
              <w:rPr>
                <w:sz w:val="22"/>
                <w:szCs w:val="22"/>
              </w:rPr>
              <w:t xml:space="preserve"> kravnesība vismaz 5</w:t>
            </w:r>
            <w:r w:rsidR="00B56C78" w:rsidRPr="00C46035">
              <w:rPr>
                <w:sz w:val="22"/>
                <w:szCs w:val="22"/>
              </w:rPr>
              <w:t>0 kg; trīs augšējo kravnesība vismaz 30 kg, jābūt iespējai mainīt plauktu savstarpējo augstumu.</w:t>
            </w:r>
          </w:p>
          <w:p w:rsidR="00B56C78" w:rsidRPr="00C46035" w:rsidRDefault="00CF1180" w:rsidP="00DF2D9F">
            <w:pPr>
              <w:spacing w:line="256" w:lineRule="auto"/>
              <w:rPr>
                <w:sz w:val="22"/>
                <w:szCs w:val="22"/>
              </w:rPr>
            </w:pPr>
            <w:r>
              <w:rPr>
                <w:sz w:val="22"/>
                <w:szCs w:val="22"/>
              </w:rPr>
              <w:t>A</w:t>
            </w:r>
            <w:r w:rsidR="00B56C78" w:rsidRPr="00C46035">
              <w:rPr>
                <w:sz w:val="22"/>
                <w:szCs w:val="22"/>
              </w:rPr>
              <w:t xml:space="preserve">pakšējā daļā </w:t>
            </w:r>
            <w:r w:rsidR="00DF2D9F" w:rsidRPr="00C46035">
              <w:rPr>
                <w:sz w:val="22"/>
                <w:szCs w:val="22"/>
              </w:rPr>
              <w:t xml:space="preserve">izvelkama </w:t>
            </w:r>
            <w:r w:rsidR="00B56C78" w:rsidRPr="00C46035">
              <w:rPr>
                <w:sz w:val="22"/>
                <w:szCs w:val="22"/>
              </w:rPr>
              <w:t>izlieto šķīd</w:t>
            </w:r>
            <w:r w:rsidR="00DF2D9F">
              <w:rPr>
                <w:sz w:val="22"/>
                <w:szCs w:val="22"/>
              </w:rPr>
              <w:t>inātāju</w:t>
            </w:r>
            <w:r w:rsidR="00B56C78" w:rsidRPr="00C46035">
              <w:rPr>
                <w:sz w:val="22"/>
                <w:szCs w:val="22"/>
              </w:rPr>
              <w:t xml:space="preserve"> uztveršanas atvilktne ar perforētu paplāti</w:t>
            </w:r>
            <w:r>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CF1180" w:rsidP="00110073">
            <w:pPr>
              <w:widowControl/>
              <w:spacing w:line="256" w:lineRule="auto"/>
              <w:rPr>
                <w:sz w:val="22"/>
                <w:szCs w:val="22"/>
              </w:rPr>
            </w:pPr>
            <w:r>
              <w:rPr>
                <w:sz w:val="22"/>
                <w:szCs w:val="22"/>
              </w:rPr>
              <w:t>V</w:t>
            </w:r>
            <w:r w:rsidR="00B56C78">
              <w:rPr>
                <w:sz w:val="22"/>
                <w:szCs w:val="22"/>
              </w:rPr>
              <w:t>ienas durvis;</w:t>
            </w:r>
          </w:p>
          <w:p w:rsidR="00CF1180" w:rsidRDefault="00CF1180" w:rsidP="00110073">
            <w:pPr>
              <w:widowControl/>
              <w:spacing w:line="256" w:lineRule="auto"/>
              <w:rPr>
                <w:sz w:val="22"/>
                <w:szCs w:val="22"/>
              </w:rPr>
            </w:pPr>
            <w:r w:rsidRPr="00CF1180">
              <w:rPr>
                <w:sz w:val="22"/>
                <w:szCs w:val="22"/>
              </w:rPr>
              <w:t>Atvērtu durvju fiksēšanas sistēma;</w:t>
            </w:r>
          </w:p>
          <w:p w:rsidR="00CF1180" w:rsidRDefault="00CF1180" w:rsidP="00110073">
            <w:pPr>
              <w:widowControl/>
              <w:spacing w:line="256" w:lineRule="auto"/>
              <w:rPr>
                <w:sz w:val="22"/>
                <w:szCs w:val="22"/>
              </w:rPr>
            </w:pPr>
            <w:r>
              <w:rPr>
                <w:sz w:val="22"/>
                <w:szCs w:val="22"/>
              </w:rPr>
              <w:t>A</w:t>
            </w:r>
            <w:r w:rsidR="00B56C78">
              <w:rPr>
                <w:sz w:val="22"/>
                <w:szCs w:val="22"/>
              </w:rPr>
              <w:t>utomātiska durvju aizvēršanās</w:t>
            </w:r>
            <w:r>
              <w:rPr>
                <w:sz w:val="22"/>
                <w:szCs w:val="22"/>
              </w:rPr>
              <w:t>;</w:t>
            </w:r>
          </w:p>
          <w:p w:rsidR="00CF1180" w:rsidRDefault="00CF1180" w:rsidP="00EB0D97">
            <w:pPr>
              <w:widowControl/>
              <w:spacing w:line="256" w:lineRule="auto"/>
              <w:rPr>
                <w:sz w:val="22"/>
                <w:szCs w:val="22"/>
              </w:rPr>
            </w:pPr>
            <w:r w:rsidRPr="00CF1180">
              <w:rPr>
                <w:sz w:val="22"/>
                <w:szCs w:val="22"/>
              </w:rPr>
              <w:t>Durvju bloķēšanas sistēma ugunsgrēka gadījumā</w:t>
            </w:r>
            <w:r>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Aprīkots ar atveri pievienošanai pie nosūces ventilācijas sistēmas.</w:t>
            </w:r>
          </w:p>
          <w:p w:rsidR="00B56C78" w:rsidRPr="00344FDC" w:rsidRDefault="00B56C78" w:rsidP="00EB0D97">
            <w:pPr>
              <w:spacing w:line="256" w:lineRule="auto"/>
              <w:rPr>
                <w:sz w:val="22"/>
                <w:szCs w:val="22"/>
              </w:rPr>
            </w:pPr>
            <w:r w:rsidRPr="00344FDC">
              <w:rPr>
                <w:sz w:val="22"/>
                <w:szCs w:val="22"/>
              </w:rPr>
              <w:t>Pretendentam jānodrošina reaģentu skapja pieslēgšana pie Pasūtītāja ventilācijas izvadiem.</w:t>
            </w:r>
            <w:r w:rsidR="00EB0D97">
              <w:rPr>
                <w:sz w:val="22"/>
                <w:szCs w:val="22"/>
              </w:rPr>
              <w:t xml:space="preserve"> (Ventilācijas vada diametrs</w:t>
            </w:r>
            <w:r w:rsidR="00EB0D97" w:rsidRPr="00EB0D97">
              <w:rPr>
                <w:sz w:val="22"/>
                <w:szCs w:val="22"/>
              </w:rPr>
              <w:t xml:space="preserve"> 75 mm</w:t>
            </w:r>
            <w:r w:rsidR="00EB0D97">
              <w:rPr>
                <w:sz w:val="22"/>
                <w:szCs w:val="22"/>
              </w:rPr>
              <w:t>).</w:t>
            </w:r>
          </w:p>
        </w:tc>
      </w:tr>
    </w:tbl>
    <w:p w:rsidR="00B56C78" w:rsidRDefault="00B56C78" w:rsidP="00B56C78">
      <w:pPr>
        <w:pStyle w:val="Header"/>
        <w:ind w:left="1080"/>
        <w:jc w:val="both"/>
        <w:rPr>
          <w:b/>
        </w:rPr>
      </w:pPr>
    </w:p>
    <w:p w:rsidR="00B56C78" w:rsidRDefault="00B56C78" w:rsidP="00B56C78">
      <w:pPr>
        <w:pStyle w:val="Header"/>
        <w:ind w:left="1080"/>
        <w:jc w:val="both"/>
        <w:rPr>
          <w:b/>
        </w:rPr>
      </w:pPr>
    </w:p>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1910"/>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center"/>
              <w:rPr>
                <w:sz w:val="22"/>
                <w:szCs w:val="22"/>
              </w:rPr>
            </w:pPr>
            <w:r>
              <w:rPr>
                <w:sz w:val="22"/>
                <w:szCs w:val="22"/>
              </w:rPr>
              <w:t>2</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 xml:space="preserve">Ugunsdroši skapji un rezervuāri - 1.daļa: Viegli uzliesmojošu šķidrumu glabāšanas </w:t>
            </w:r>
            <w:r>
              <w:rPr>
                <w:color w:val="333333"/>
                <w:sz w:val="22"/>
                <w:szCs w:val="22"/>
                <w:shd w:val="clear" w:color="auto" w:fill="FFFFFF"/>
              </w:rPr>
              <w:lastRenderedPageBreak/>
              <w:t>rezervuāri</w:t>
            </w:r>
            <w:r>
              <w:rPr>
                <w:sz w:val="22"/>
                <w:szCs w:val="22"/>
              </w:rPr>
              <w:t xml:space="preserve">”. Skapja ugunsizturība vismaz 90 minūtes. Reaģentu skapim jābūt zemējuma pieslēguma vietai.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lastRenderedPageBreak/>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12</w:t>
            </w:r>
            <w:r w:rsidR="00CF1180">
              <w:rPr>
                <w:sz w:val="22"/>
                <w:szCs w:val="22"/>
              </w:rPr>
              <w:t>00 mm +/- 5</w:t>
            </w:r>
            <w:r>
              <w:rPr>
                <w:sz w:val="22"/>
                <w:szCs w:val="22"/>
              </w:rPr>
              <w:t>0 mm</w:t>
            </w:r>
          </w:p>
          <w:p w:rsidR="00B56C78" w:rsidRDefault="00CF1180" w:rsidP="00110073">
            <w:pPr>
              <w:spacing w:line="256" w:lineRule="auto"/>
              <w:rPr>
                <w:sz w:val="22"/>
                <w:szCs w:val="22"/>
              </w:rPr>
            </w:pPr>
            <w:r>
              <w:rPr>
                <w:sz w:val="22"/>
                <w:szCs w:val="22"/>
              </w:rPr>
              <w:t>Dziļums:  600 mm +/- 5</w:t>
            </w:r>
            <w:r w:rsidR="00B56C78">
              <w:rPr>
                <w:sz w:val="22"/>
                <w:szCs w:val="22"/>
              </w:rPr>
              <w:t>0 mm</w:t>
            </w:r>
          </w:p>
          <w:p w:rsidR="00B56C78" w:rsidRDefault="00CF1180" w:rsidP="00110073">
            <w:pPr>
              <w:spacing w:line="256" w:lineRule="auto"/>
              <w:rPr>
                <w:sz w:val="22"/>
                <w:szCs w:val="22"/>
              </w:rPr>
            </w:pPr>
            <w:r>
              <w:rPr>
                <w:sz w:val="22"/>
                <w:szCs w:val="22"/>
              </w:rPr>
              <w:t>Augstums: 1950 mm +/- 10</w:t>
            </w:r>
            <w:r w:rsidR="00B56C78">
              <w:rPr>
                <w:sz w:val="22"/>
                <w:szCs w:val="22"/>
              </w:rPr>
              <w:t>0 mm</w:t>
            </w:r>
          </w:p>
          <w:p w:rsidR="00B56C78" w:rsidRDefault="00B56C78" w:rsidP="00110073">
            <w:pPr>
              <w:spacing w:line="256" w:lineRule="auto"/>
              <w:rPr>
                <w:sz w:val="22"/>
                <w:szCs w:val="22"/>
              </w:rPr>
            </w:pPr>
            <w:r>
              <w:rPr>
                <w:sz w:val="22"/>
                <w:szCs w:val="22"/>
              </w:rPr>
              <w:t>Skapis ar ieregulējamām kājiņām pre</w:t>
            </w:r>
            <w:r w:rsidR="00CF1180">
              <w:rPr>
                <w:sz w:val="22"/>
                <w:szCs w:val="22"/>
              </w:rPr>
              <w:t>cīzai horizontālai izvietošanai</w:t>
            </w:r>
            <w:r w:rsidR="00562EAC">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CF1180" w:rsidP="00110073">
            <w:pPr>
              <w:spacing w:line="256" w:lineRule="auto"/>
              <w:rPr>
                <w:sz w:val="22"/>
                <w:szCs w:val="22"/>
              </w:rPr>
            </w:pPr>
            <w:r>
              <w:rPr>
                <w:sz w:val="22"/>
                <w:szCs w:val="22"/>
              </w:rPr>
              <w:t>V</w:t>
            </w:r>
            <w:r w:rsidR="00B56C78" w:rsidRPr="00C46035">
              <w:rPr>
                <w:sz w:val="22"/>
                <w:szCs w:val="22"/>
              </w:rPr>
              <w:t xml:space="preserve">ismaz </w:t>
            </w:r>
            <w:r w:rsidR="00B56C78">
              <w:rPr>
                <w:sz w:val="22"/>
                <w:szCs w:val="22"/>
              </w:rPr>
              <w:t>10</w:t>
            </w:r>
            <w:r w:rsidR="00B56C78" w:rsidRPr="00C46035">
              <w:rPr>
                <w:sz w:val="22"/>
                <w:szCs w:val="22"/>
              </w:rPr>
              <w:t xml:space="preserve"> pilnīgi  izvelkami plaukti;</w:t>
            </w:r>
            <w:r w:rsidR="00B56C78">
              <w:rPr>
                <w:sz w:val="22"/>
                <w:szCs w:val="22"/>
              </w:rPr>
              <w:t xml:space="preserve"> četru apakšējo kravnesība vismaz 5</w:t>
            </w:r>
            <w:r w:rsidR="00B56C78" w:rsidRPr="00C46035">
              <w:rPr>
                <w:sz w:val="22"/>
                <w:szCs w:val="22"/>
              </w:rPr>
              <w:t>0 kg;</w:t>
            </w:r>
            <w:r w:rsidR="00B56C78">
              <w:rPr>
                <w:sz w:val="22"/>
                <w:szCs w:val="22"/>
              </w:rPr>
              <w:t xml:space="preserve"> sešu</w:t>
            </w:r>
            <w:r w:rsidR="00B56C78" w:rsidRPr="00C46035">
              <w:rPr>
                <w:sz w:val="22"/>
                <w:szCs w:val="22"/>
              </w:rPr>
              <w:t xml:space="preserve"> augšējo kravnesība vismaz 30 kg, jābūt iespējai mainīt plauktu savstarpējo augstumu.</w:t>
            </w:r>
          </w:p>
          <w:p w:rsidR="00B56C78" w:rsidRPr="00C46035" w:rsidRDefault="00CF1180" w:rsidP="00425164">
            <w:pPr>
              <w:spacing w:line="256" w:lineRule="auto"/>
              <w:rPr>
                <w:sz w:val="22"/>
                <w:szCs w:val="22"/>
              </w:rPr>
            </w:pPr>
            <w:r>
              <w:rPr>
                <w:sz w:val="22"/>
                <w:szCs w:val="22"/>
              </w:rPr>
              <w:t>A</w:t>
            </w:r>
            <w:r w:rsidR="00B56C78" w:rsidRPr="00C46035">
              <w:rPr>
                <w:sz w:val="22"/>
                <w:szCs w:val="22"/>
              </w:rPr>
              <w:t xml:space="preserve">pakšējā daļā </w:t>
            </w:r>
            <w:r w:rsidR="00425164" w:rsidRPr="00C46035">
              <w:rPr>
                <w:sz w:val="22"/>
                <w:szCs w:val="22"/>
              </w:rPr>
              <w:t xml:space="preserve">izvelkama </w:t>
            </w:r>
            <w:r w:rsidR="00B56C78" w:rsidRPr="00C46035">
              <w:rPr>
                <w:sz w:val="22"/>
                <w:szCs w:val="22"/>
              </w:rPr>
              <w:t>izlieto šķīd</w:t>
            </w:r>
            <w:r w:rsidR="00425164">
              <w:rPr>
                <w:sz w:val="22"/>
                <w:szCs w:val="22"/>
              </w:rPr>
              <w:t>inātāju</w:t>
            </w:r>
            <w:r w:rsidR="00B56C78" w:rsidRPr="00C46035">
              <w:rPr>
                <w:sz w:val="22"/>
                <w:szCs w:val="22"/>
              </w:rPr>
              <w:t xml:space="preserve"> uztveršanas atvilktne ar perforētu paplāti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CF1180" w:rsidRPr="00CF1180" w:rsidRDefault="00CF1180" w:rsidP="00CF1180">
            <w:pPr>
              <w:widowControl/>
              <w:spacing w:line="256" w:lineRule="auto"/>
              <w:rPr>
                <w:sz w:val="22"/>
                <w:szCs w:val="22"/>
              </w:rPr>
            </w:pPr>
            <w:r>
              <w:rPr>
                <w:sz w:val="22"/>
                <w:szCs w:val="22"/>
              </w:rPr>
              <w:t>D</w:t>
            </w:r>
            <w:r w:rsidR="00B56C78">
              <w:rPr>
                <w:sz w:val="22"/>
                <w:szCs w:val="22"/>
              </w:rPr>
              <w:t>ivas</w:t>
            </w:r>
            <w:r w:rsidRPr="00CF1180">
              <w:rPr>
                <w:sz w:val="22"/>
                <w:szCs w:val="22"/>
              </w:rPr>
              <w:t xml:space="preserve"> durvis;</w:t>
            </w:r>
          </w:p>
          <w:p w:rsidR="00CF1180" w:rsidRPr="00CF1180" w:rsidRDefault="00CF1180" w:rsidP="00CF1180">
            <w:pPr>
              <w:widowControl/>
              <w:spacing w:line="256" w:lineRule="auto"/>
              <w:rPr>
                <w:sz w:val="22"/>
                <w:szCs w:val="22"/>
              </w:rPr>
            </w:pPr>
            <w:r w:rsidRPr="00CF1180">
              <w:rPr>
                <w:sz w:val="22"/>
                <w:szCs w:val="22"/>
              </w:rPr>
              <w:t>Atvērtu durvju fiksēšanas sistēma;</w:t>
            </w:r>
          </w:p>
          <w:p w:rsidR="00CF1180" w:rsidRPr="00CF1180" w:rsidRDefault="00CF1180" w:rsidP="00CF1180">
            <w:pPr>
              <w:widowControl/>
              <w:spacing w:line="256" w:lineRule="auto"/>
              <w:rPr>
                <w:sz w:val="22"/>
                <w:szCs w:val="22"/>
              </w:rPr>
            </w:pPr>
            <w:r w:rsidRPr="00CF1180">
              <w:rPr>
                <w:sz w:val="22"/>
                <w:szCs w:val="22"/>
              </w:rPr>
              <w:t>Automātiska durvju aizvēršanās;</w:t>
            </w:r>
          </w:p>
          <w:p w:rsidR="00B56C78" w:rsidRDefault="00CF1180" w:rsidP="00CF1180">
            <w:pPr>
              <w:spacing w:line="256" w:lineRule="auto"/>
              <w:rPr>
                <w:sz w:val="22"/>
                <w:szCs w:val="22"/>
              </w:rPr>
            </w:pPr>
            <w:r w:rsidRPr="00CF1180">
              <w:rPr>
                <w:sz w:val="22"/>
                <w:szCs w:val="22"/>
              </w:rPr>
              <w:t>Durvju bloķēšanas sistēma ugunsgrēka gadījumā.</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CF1180" w:rsidRPr="00CF1180" w:rsidRDefault="00CF1180" w:rsidP="00CF1180">
            <w:pPr>
              <w:spacing w:line="256" w:lineRule="auto"/>
              <w:rPr>
                <w:sz w:val="22"/>
                <w:szCs w:val="22"/>
              </w:rPr>
            </w:pPr>
            <w:r w:rsidRPr="00CF1180">
              <w:rPr>
                <w:sz w:val="22"/>
                <w:szCs w:val="22"/>
              </w:rPr>
              <w:t>Aprīkots ar atveri pievienošanai pie nosūces ventilācijas sistēmas.</w:t>
            </w:r>
          </w:p>
          <w:p w:rsidR="00B56C78" w:rsidRPr="00344FDC" w:rsidRDefault="00CF1180" w:rsidP="00CF1180">
            <w:pPr>
              <w:spacing w:line="256" w:lineRule="auto"/>
              <w:rPr>
                <w:sz w:val="22"/>
                <w:szCs w:val="22"/>
              </w:rPr>
            </w:pPr>
            <w:r w:rsidRPr="00CF1180">
              <w:rPr>
                <w:sz w:val="22"/>
                <w:szCs w:val="22"/>
              </w:rPr>
              <w:t>Pretendentam jānodrošina reaģentu skapja pieslēgšana pie Pasūtītāja ventilācijas izvadiem. (Ventilācijas vada diametrs 75 mm).</w:t>
            </w:r>
          </w:p>
        </w:tc>
      </w:tr>
    </w:tbl>
    <w:p w:rsidR="00B56C78" w:rsidRDefault="00B56C78" w:rsidP="00B56C78"/>
    <w:p w:rsidR="008D14B6" w:rsidRDefault="008D14B6" w:rsidP="008D14B6"/>
    <w:p w:rsidR="001A3738" w:rsidRDefault="001A3738" w:rsidP="008D14B6"/>
    <w:p w:rsidR="001A3738" w:rsidRDefault="001A3738" w:rsidP="008D14B6"/>
    <w:p w:rsidR="001A3738" w:rsidRDefault="001A3738" w:rsidP="008D14B6"/>
    <w:p w:rsidR="001A3738" w:rsidRDefault="001A3738" w:rsidP="008D14B6"/>
    <w:p w:rsidR="001A3738" w:rsidRDefault="001A3738" w:rsidP="008D14B6"/>
    <w:p w:rsidR="001A3738" w:rsidRPr="001A3738" w:rsidRDefault="001A3738" w:rsidP="008D14B6">
      <w:pPr>
        <w:rPr>
          <w:b/>
          <w:u w:val="single"/>
        </w:rPr>
      </w:pPr>
      <w:r w:rsidRPr="001A3738">
        <w:rPr>
          <w:b/>
          <w:u w:val="single"/>
        </w:rPr>
        <w:t>Papildus nosacījumi:</w:t>
      </w:r>
    </w:p>
    <w:p w:rsidR="001A3738" w:rsidRDefault="001A3738" w:rsidP="008D14B6"/>
    <w:p w:rsidR="001A3738" w:rsidRPr="00A66533"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1" w:name="_Toc313875856"/>
      <w:bookmarkStart w:id="52" w:name="LĪGUMA_PROJEKTS_III"/>
      <w:bookmarkStart w:id="53" w:name="_Toc484175755"/>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1"/>
      <w:bookmarkEnd w:id="53"/>
    </w:p>
    <w:bookmarkEnd w:id="52"/>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54" w:name="_Toc289092137"/>
      <w:bookmarkStart w:id="55" w:name="_Toc289172682"/>
      <w:bookmarkStart w:id="56" w:name="_Toc289174422"/>
      <w:bookmarkStart w:id="57" w:name="_Toc289183520"/>
      <w:bookmarkStart w:id="58" w:name="_Toc313361958"/>
      <w:bookmarkStart w:id="59" w:name="_Toc313875857"/>
      <w:r w:rsidRPr="003132FB">
        <w:rPr>
          <w:rFonts w:ascii="Times New Roman" w:hAnsi="Times New Roman"/>
          <w:szCs w:val="20"/>
        </w:rPr>
        <w:t>LĪGUMS Nr.</w:t>
      </w:r>
      <w:bookmarkEnd w:id="54"/>
      <w:bookmarkEnd w:id="55"/>
      <w:bookmarkEnd w:id="56"/>
      <w:bookmarkEnd w:id="57"/>
      <w:bookmarkEnd w:id="58"/>
      <w:bookmarkEnd w:id="59"/>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60" w:name="_Toc289092138"/>
      <w:bookmarkStart w:id="61" w:name="_Toc289172683"/>
      <w:bookmarkStart w:id="62" w:name="_Toc289174423"/>
      <w:bookmarkStart w:id="63" w:name="_Toc289183521"/>
      <w:bookmarkStart w:id="64" w:name="_Toc313361959"/>
      <w:bookmarkStart w:id="65"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0"/>
      <w:bookmarkEnd w:id="61"/>
      <w:bookmarkEnd w:id="62"/>
      <w:bookmarkEnd w:id="63"/>
      <w:bookmarkEnd w:id="64"/>
      <w:bookmarkEnd w:id="65"/>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66" w:name="_Ref313360540"/>
      <w:bookmarkStart w:id="67" w:name="_Toc367361881"/>
      <w:bookmarkStart w:id="68" w:name="_Toc418085197"/>
      <w:bookmarkStart w:id="69" w:name="_Toc484175756"/>
      <w:r w:rsidRPr="003132FB">
        <w:t>LĪGUMA SPECIĀLIE NOTEIKUMI</w:t>
      </w:r>
      <w:bookmarkEnd w:id="66"/>
      <w:bookmarkEnd w:id="67"/>
      <w:bookmarkEnd w:id="68"/>
      <w:bookmarkEnd w:id="69"/>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613" w:type="dxa"/>
        <w:jc w:val="center"/>
        <w:tblLook w:val="0000"/>
      </w:tblPr>
      <w:tblGrid>
        <w:gridCol w:w="4136"/>
        <w:gridCol w:w="4477"/>
      </w:tblGrid>
      <w:tr w:rsidR="00F950E9" w:rsidRPr="003132FB" w:rsidTr="00F950E9">
        <w:trPr>
          <w:trHeight w:val="4572"/>
          <w:jc w:val="center"/>
        </w:trPr>
        <w:tc>
          <w:tcPr>
            <w:tcW w:w="4136" w:type="dxa"/>
          </w:tcPr>
          <w:p w:rsidR="00F950E9" w:rsidRPr="003132FB" w:rsidRDefault="00F950E9" w:rsidP="00F950E9">
            <w:pPr>
              <w:widowControl/>
              <w:jc w:val="both"/>
              <w:rPr>
                <w:rFonts w:ascii="Tahoma" w:hAnsi="Tahoma"/>
                <w:bCs/>
                <w:sz w:val="22"/>
                <w:szCs w:val="20"/>
              </w:rPr>
            </w:pPr>
            <w:r w:rsidRPr="003132FB">
              <w:rPr>
                <w:bCs/>
              </w:rPr>
              <w:lastRenderedPageBreak/>
              <w:t xml:space="preserve">„Piegādātājs”  </w:t>
            </w:r>
          </w:p>
          <w:p w:rsidR="00F950E9" w:rsidRPr="003132FB" w:rsidRDefault="00F950E9" w:rsidP="00F950E9">
            <w:pPr>
              <w:widowControl/>
              <w:rPr>
                <w:b/>
              </w:rPr>
            </w:pPr>
            <w:r w:rsidRPr="003132FB">
              <w:rPr>
                <w:b/>
              </w:rPr>
              <w:t xml:space="preserve">„ </w:t>
            </w:r>
            <w:r w:rsidRPr="003132FB">
              <w:rPr>
                <w:b/>
                <w:i/>
              </w:rPr>
              <w:t>Nosaukums</w:t>
            </w:r>
            <w:r w:rsidRPr="003132FB">
              <w:rPr>
                <w:b/>
              </w:rPr>
              <w:t xml:space="preserve">” </w:t>
            </w:r>
          </w:p>
          <w:p w:rsidR="00F950E9" w:rsidRPr="003132FB" w:rsidRDefault="00F950E9" w:rsidP="00F950E9">
            <w:pPr>
              <w:widowControl/>
              <w:rPr>
                <w:i/>
              </w:rPr>
            </w:pPr>
            <w:r w:rsidRPr="003132FB">
              <w:rPr>
                <w:i/>
              </w:rPr>
              <w:t>Reģ.Nr.</w:t>
            </w:r>
          </w:p>
          <w:p w:rsidR="00F950E9" w:rsidRPr="003132FB" w:rsidRDefault="00F950E9" w:rsidP="00F950E9">
            <w:pPr>
              <w:widowControl/>
              <w:rPr>
                <w:i/>
              </w:rPr>
            </w:pPr>
            <w:r w:rsidRPr="003132FB">
              <w:rPr>
                <w:i/>
              </w:rPr>
              <w:t>PVN Reģ.Nr.</w:t>
            </w:r>
          </w:p>
          <w:p w:rsidR="00F950E9" w:rsidRPr="003132FB" w:rsidRDefault="00F950E9" w:rsidP="00F950E9">
            <w:pPr>
              <w:widowControl/>
            </w:pPr>
            <w:r w:rsidRPr="003132FB">
              <w:rPr>
                <w:i/>
              </w:rPr>
              <w:t>Adrese</w:t>
            </w:r>
            <w:r w:rsidRPr="003132FB">
              <w:t>,</w:t>
            </w:r>
          </w:p>
          <w:p w:rsidR="00F950E9" w:rsidRPr="003132FB" w:rsidRDefault="00F950E9" w:rsidP="00F950E9">
            <w:pPr>
              <w:widowControl/>
              <w:rPr>
                <w:i/>
              </w:rPr>
            </w:pPr>
            <w:r w:rsidRPr="003132FB">
              <w:rPr>
                <w:i/>
              </w:rPr>
              <w:t>Pilsēta, pasta indekss, valsts</w:t>
            </w:r>
          </w:p>
          <w:p w:rsidR="00F950E9" w:rsidRPr="003132FB" w:rsidRDefault="00F950E9" w:rsidP="00F950E9">
            <w:pPr>
              <w:widowControl/>
              <w:rPr>
                <w:i/>
              </w:rPr>
            </w:pPr>
            <w:r w:rsidRPr="003132FB">
              <w:rPr>
                <w:i/>
              </w:rPr>
              <w:t>Bankas nosaukums</w:t>
            </w:r>
          </w:p>
          <w:p w:rsidR="00F950E9" w:rsidRPr="003132FB" w:rsidRDefault="00F950E9" w:rsidP="00F950E9">
            <w:pPr>
              <w:widowControl/>
            </w:pPr>
            <w:r w:rsidRPr="003132FB">
              <w:t>Kods: XXXX</w:t>
            </w:r>
          </w:p>
          <w:p w:rsidR="00F950E9" w:rsidRPr="003132FB" w:rsidRDefault="00F950E9" w:rsidP="00F950E9">
            <w:pPr>
              <w:widowControl/>
            </w:pPr>
            <w:r w:rsidRPr="003132FB">
              <w:t>Konts: XXXX</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r w:rsidRPr="003132FB">
              <w:rPr>
                <w:i/>
              </w:rPr>
              <w:t>Amata nosaukums</w:t>
            </w:r>
            <w:r w:rsidRPr="003132FB">
              <w:t>:</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i/>
              </w:rPr>
            </w:pPr>
            <w:r w:rsidRPr="003132FB">
              <w:rPr>
                <w:i/>
              </w:rPr>
              <w:t>Vārds uzvārds</w:t>
            </w:r>
          </w:p>
          <w:p w:rsidR="00F950E9" w:rsidRPr="003132FB" w:rsidRDefault="00F950E9" w:rsidP="00F950E9">
            <w:pPr>
              <w:widowControl/>
              <w:jc w:val="both"/>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F950E9" w:rsidRPr="003132FB" w:rsidRDefault="00F950E9" w:rsidP="00F950E9">
            <w:pPr>
              <w:widowControl/>
              <w:jc w:val="both"/>
              <w:rPr>
                <w:rFonts w:ascii="Tahoma" w:hAnsi="Tahoma"/>
                <w:sz w:val="22"/>
                <w:szCs w:val="20"/>
              </w:rPr>
            </w:pPr>
            <w:r w:rsidRPr="003132FB">
              <w:t>„Pasūtītājs”:</w:t>
            </w:r>
          </w:p>
          <w:p w:rsidR="00F950E9" w:rsidRPr="003132FB" w:rsidRDefault="00F950E9" w:rsidP="00F950E9">
            <w:pPr>
              <w:widowControl/>
              <w:jc w:val="both"/>
              <w:rPr>
                <w:rFonts w:ascii="Tahoma" w:hAnsi="Tahoma"/>
                <w:sz w:val="22"/>
                <w:szCs w:val="20"/>
              </w:rPr>
            </w:pPr>
            <w:r w:rsidRPr="003132FB">
              <w:t>APP Latvijas Organiskās sintēzes institūts</w:t>
            </w:r>
          </w:p>
          <w:p w:rsidR="00F950E9" w:rsidRPr="003132FB" w:rsidRDefault="00F950E9" w:rsidP="00F950E9">
            <w:pPr>
              <w:widowControl/>
              <w:jc w:val="both"/>
            </w:pPr>
            <w:r w:rsidRPr="003132FB">
              <w:t>Reģ.Nr. 90002111653</w:t>
            </w:r>
          </w:p>
          <w:p w:rsidR="00F950E9" w:rsidRPr="003132FB" w:rsidRDefault="00F950E9" w:rsidP="00F950E9">
            <w:pPr>
              <w:widowControl/>
              <w:jc w:val="both"/>
              <w:rPr>
                <w:rFonts w:ascii="Tahoma" w:hAnsi="Tahoma"/>
                <w:sz w:val="22"/>
                <w:szCs w:val="20"/>
              </w:rPr>
            </w:pPr>
            <w:r w:rsidRPr="003132FB">
              <w:t>PVN Reģ.Nr. LV90002111653</w:t>
            </w:r>
          </w:p>
          <w:p w:rsidR="00F950E9" w:rsidRPr="003132FB" w:rsidRDefault="00F950E9" w:rsidP="00F950E9">
            <w:pPr>
              <w:widowControl/>
            </w:pPr>
            <w:r w:rsidRPr="003132FB">
              <w:t>Aizkraukles ielā 21,</w:t>
            </w:r>
          </w:p>
          <w:p w:rsidR="00F950E9" w:rsidRPr="003132FB" w:rsidRDefault="00F950E9" w:rsidP="00F950E9">
            <w:pPr>
              <w:widowControl/>
            </w:pPr>
            <w:r w:rsidRPr="003132FB">
              <w:t>Rīga, LV-1006, Latvija</w:t>
            </w:r>
          </w:p>
          <w:p w:rsidR="00F950E9" w:rsidRPr="003132FB" w:rsidRDefault="00F950E9" w:rsidP="00F950E9">
            <w:pPr>
              <w:widowControl/>
              <w:jc w:val="both"/>
              <w:rPr>
                <w:szCs w:val="20"/>
              </w:rPr>
            </w:pPr>
            <w:r w:rsidRPr="003132FB">
              <w:rPr>
                <w:szCs w:val="20"/>
              </w:rPr>
              <w:t>Valsts Kase</w:t>
            </w:r>
          </w:p>
          <w:p w:rsidR="00F950E9" w:rsidRPr="003132FB" w:rsidRDefault="00F950E9" w:rsidP="00F950E9">
            <w:pPr>
              <w:widowControl/>
              <w:jc w:val="both"/>
              <w:rPr>
                <w:szCs w:val="20"/>
              </w:rPr>
            </w:pPr>
            <w:r w:rsidRPr="003132FB">
              <w:rPr>
                <w:szCs w:val="20"/>
              </w:rPr>
              <w:t>Kods : TRELLLV2X</w:t>
            </w:r>
          </w:p>
          <w:p w:rsidR="00F950E9" w:rsidRPr="003132FB" w:rsidRDefault="00F950E9" w:rsidP="00F950E9">
            <w:pPr>
              <w:widowControl/>
              <w:jc w:val="both"/>
              <w:rPr>
                <w:szCs w:val="20"/>
              </w:rPr>
            </w:pPr>
            <w:r w:rsidRPr="003132FB">
              <w:rPr>
                <w:szCs w:val="20"/>
              </w:rPr>
              <w:t>Konts: LV42TREL9150211012000</w:t>
            </w:r>
          </w:p>
          <w:p w:rsidR="00F950E9" w:rsidRPr="003132FB" w:rsidRDefault="00F950E9" w:rsidP="00F950E9">
            <w:pPr>
              <w:widowControl/>
              <w:jc w:val="both"/>
              <w:rPr>
                <w:szCs w:val="20"/>
              </w:rPr>
            </w:pPr>
          </w:p>
          <w:p w:rsidR="00F950E9" w:rsidRPr="003132FB" w:rsidRDefault="00F950E9" w:rsidP="00F950E9">
            <w:pPr>
              <w:widowControl/>
              <w:jc w:val="both"/>
            </w:pPr>
          </w:p>
          <w:p w:rsidR="00F950E9" w:rsidRPr="003132FB" w:rsidRDefault="00F950E9" w:rsidP="00F950E9">
            <w:pPr>
              <w:widowControl/>
              <w:jc w:val="both"/>
            </w:pPr>
            <w:r w:rsidRPr="003132FB">
              <w:t>Latvijas Organiskās sintēzes institūta</w:t>
            </w:r>
          </w:p>
          <w:p w:rsidR="00F950E9" w:rsidRPr="003132FB" w:rsidRDefault="00F950E9" w:rsidP="00F950E9">
            <w:pPr>
              <w:widowControl/>
              <w:jc w:val="both"/>
            </w:pPr>
            <w:r w:rsidRPr="003132FB">
              <w:t>Direktors:</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rFonts w:ascii="Tahoma" w:hAnsi="Tahoma"/>
                <w:sz w:val="22"/>
                <w:szCs w:val="20"/>
              </w:rPr>
            </w:pPr>
            <w:r>
              <w:t>Osvalds Pugovičs</w:t>
            </w:r>
          </w:p>
          <w:p w:rsidR="00F950E9" w:rsidRPr="003132FB" w:rsidRDefault="00F950E9" w:rsidP="00F950E9">
            <w:pPr>
              <w:widowControl/>
              <w:jc w:val="both"/>
              <w:rPr>
                <w:rFonts w:ascii="Tahoma" w:hAnsi="Tahoma"/>
                <w:sz w:val="22"/>
                <w:szCs w:val="20"/>
              </w:rPr>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70" w:name="_Ref313360740"/>
      <w:bookmarkStart w:id="71" w:name="_Toc367361882"/>
    </w:p>
    <w:p w:rsidR="00F950E9" w:rsidRPr="003132FB" w:rsidRDefault="00F950E9" w:rsidP="00F950E9">
      <w:pPr>
        <w:pStyle w:val="Heading2"/>
        <w:numPr>
          <w:ilvl w:val="0"/>
          <w:numId w:val="0"/>
        </w:numPr>
        <w:ind w:left="576"/>
        <w:jc w:val="center"/>
      </w:pPr>
      <w:bookmarkStart w:id="72" w:name="_Toc418085198"/>
      <w:bookmarkStart w:id="73" w:name="_Toc484175757"/>
      <w:r w:rsidRPr="003132FB">
        <w:t>LĪGUMA VISPĀRĪGIE NOTEIKUMI</w:t>
      </w:r>
      <w:bookmarkEnd w:id="70"/>
      <w:bookmarkEnd w:id="71"/>
      <w:bookmarkEnd w:id="72"/>
      <w:bookmarkEnd w:id="73"/>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F950E9">
      <w:pPr>
        <w:numPr>
          <w:ilvl w:val="1"/>
          <w:numId w:val="14"/>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sījumu 1</w:t>
      </w:r>
      <w:r w:rsidRPr="003132FB">
        <w:t xml:space="preserve"> (</w:t>
      </w:r>
      <w:r>
        <w:t>vienas</w:t>
      </w:r>
      <w:r w:rsidRPr="003132FB">
        <w:t>) darba dien</w:t>
      </w:r>
      <w:r>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4" w:name="_Toc463167311"/>
      <w:r w:rsidRPr="003132FB">
        <w:rPr>
          <w:b/>
        </w:rPr>
        <w:t>APDROŠINĀŠANA</w:t>
      </w:r>
      <w:bookmarkEnd w:id="74"/>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lastRenderedPageBreak/>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F950E9" w:rsidP="00F950E9">
      <w:pPr>
        <w:numPr>
          <w:ilvl w:val="1"/>
          <w:numId w:val="14"/>
        </w:numPr>
        <w:jc w:val="both"/>
      </w:pPr>
      <w:r w:rsidRPr="003132FB">
        <w:t>Līguma cena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w:t>
      </w:r>
      <w:r w:rsidRPr="003132FB">
        <w:lastRenderedPageBreak/>
        <w:t xml:space="preserve">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w:t>
      </w:r>
      <w:r w:rsidRPr="00A54BC4">
        <w:lastRenderedPageBreak/>
        <w:t xml:space="preserve">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Šis līgums ir saistošs Pasūtītājam un Pārdevējam, kā arī visām trešajām personām, kas </w:t>
      </w:r>
      <w:r w:rsidRPr="003132FB">
        <w:lastRenderedPageBreak/>
        <w:t>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5" w:name="_Toc367361883"/>
      <w:bookmarkStart w:id="76" w:name="_Toc418085199"/>
      <w:bookmarkStart w:id="77" w:name="_Toc484175758"/>
      <w:r w:rsidRPr="003132FB">
        <w:rPr>
          <w:bCs/>
          <w:iCs/>
          <w:szCs w:val="20"/>
          <w:lang w:eastAsia="lv-LV"/>
        </w:rPr>
        <w:lastRenderedPageBreak/>
        <w:t>Pielikums Nr. 1</w:t>
      </w:r>
      <w:bookmarkEnd w:id="75"/>
      <w:bookmarkEnd w:id="76"/>
      <w:bookmarkEnd w:id="77"/>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78" w:name="TEHNISKĀS_SPECIFIKĀCIJAS_III_2"/>
      <w:r w:rsidRPr="003132FB">
        <w:rPr>
          <w:b/>
          <w:bCs/>
          <w:iCs/>
          <w:caps/>
          <w:sz w:val="28"/>
          <w:szCs w:val="28"/>
        </w:rPr>
        <w:t>Tehniskās specifikācijas</w:t>
      </w:r>
    </w:p>
    <w:bookmarkEnd w:id="78"/>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9" w:name="_Toc367361884"/>
      <w:bookmarkStart w:id="80" w:name="_Toc418085200"/>
      <w:bookmarkStart w:id="81" w:name="_Toc484175759"/>
      <w:r w:rsidRPr="003132FB">
        <w:rPr>
          <w:bCs/>
          <w:iCs/>
          <w:szCs w:val="20"/>
          <w:lang w:eastAsia="lv-LV"/>
        </w:rPr>
        <w:lastRenderedPageBreak/>
        <w:t>Pielikums Nr. 2</w:t>
      </w:r>
      <w:bookmarkEnd w:id="79"/>
      <w:bookmarkEnd w:id="80"/>
      <w:bookmarkEnd w:id="81"/>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2" w:name="_Toc367361885"/>
      <w:bookmarkStart w:id="83" w:name="_Toc418085201"/>
      <w:bookmarkStart w:id="84" w:name="_Toc484175760"/>
      <w:r w:rsidRPr="003132FB">
        <w:rPr>
          <w:bCs/>
          <w:iCs/>
          <w:szCs w:val="20"/>
          <w:lang w:eastAsia="lv-LV"/>
        </w:rPr>
        <w:lastRenderedPageBreak/>
        <w:t>Pielikums Nr. 3</w:t>
      </w:r>
      <w:bookmarkEnd w:id="82"/>
      <w:bookmarkEnd w:id="83"/>
      <w:bookmarkEnd w:id="8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5" w:name="FINANŠU_PIEDĀVĀJUMS_III_3"/>
      <w:r w:rsidRPr="003132FB">
        <w:rPr>
          <w:b/>
          <w:bCs/>
          <w:iCs/>
          <w:caps/>
          <w:sz w:val="28"/>
          <w:szCs w:val="28"/>
        </w:rPr>
        <w:t>Finanšu piedāvājums</w:t>
      </w:r>
    </w:p>
    <w:bookmarkEnd w:id="85"/>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6" w:name="_Ref313360870"/>
      <w:bookmarkStart w:id="87" w:name="_Toc367361886"/>
      <w:bookmarkStart w:id="88" w:name="_Toc418085202"/>
      <w:bookmarkStart w:id="89" w:name="_Toc484175761"/>
      <w:r w:rsidRPr="003132FB">
        <w:rPr>
          <w:bCs/>
          <w:iCs/>
          <w:szCs w:val="20"/>
          <w:lang w:eastAsia="lv-LV"/>
        </w:rPr>
        <w:lastRenderedPageBreak/>
        <w:t>Pielikums Nr. 4</w:t>
      </w:r>
      <w:bookmarkEnd w:id="86"/>
      <w:bookmarkEnd w:id="87"/>
      <w:bookmarkEnd w:id="88"/>
      <w:bookmarkEnd w:id="8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90" w:name="_Toc313875865"/>
      <w:bookmarkStart w:id="91" w:name="FORMAS_PIEDĀVĀJUMA_SAGATAVOŠANAI_IV"/>
      <w:bookmarkStart w:id="92" w:name="_Toc484175762"/>
      <w:r w:rsidRPr="00A66533">
        <w:rPr>
          <w:rFonts w:ascii="Times New Roman" w:hAnsi="Times New Roman" w:cs="Times New Roman"/>
          <w:lang w:val="lv-LV"/>
        </w:rPr>
        <w:t>FORMAS PIEDĀVĀJUMA SAGATAVOŠANAI</w:t>
      </w:r>
      <w:bookmarkEnd w:id="90"/>
      <w:bookmarkEnd w:id="92"/>
    </w:p>
    <w:bookmarkEnd w:id="91"/>
    <w:p w:rsidR="00583833" w:rsidRPr="00A66533" w:rsidRDefault="0013790B" w:rsidP="0013790B">
      <w:pPr>
        <w:jc w:val="center"/>
      </w:pPr>
      <w:r w:rsidRPr="00A66533">
        <w:br w:type="page"/>
      </w:r>
      <w:bookmarkStart w:id="93"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4" w:name="_Toc313875866"/>
      <w:bookmarkStart w:id="95" w:name="_Toc484175763"/>
      <w:r w:rsidRPr="00A66533">
        <w:t>1. FORMA</w:t>
      </w:r>
      <w:bookmarkEnd w:id="93"/>
      <w:bookmarkEnd w:id="94"/>
      <w:bookmarkEnd w:id="95"/>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w:t>
      </w:r>
      <w:r w:rsidR="00D92A73">
        <w:rPr>
          <w:b/>
        </w:rPr>
        <w:t>7</w:t>
      </w:r>
      <w:r w:rsidR="005F7660" w:rsidRPr="005377AE">
        <w:rPr>
          <w:b/>
        </w:rPr>
        <w:t>/</w:t>
      </w:r>
      <w:r w:rsidR="009E2285">
        <w:rPr>
          <w:b/>
        </w:rPr>
        <w:t>09</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9E2285" w:rsidRPr="009E2285">
        <w:rPr>
          <w:b/>
        </w:rPr>
        <w:t>Ugunsdrošo šķīdinātāju skapju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6" w:name="_Toc313875867"/>
      <w:bookmarkStart w:id="97" w:name="_Toc484175764"/>
      <w:r w:rsidRPr="00A66533">
        <w:lastRenderedPageBreak/>
        <w:t>2. FORMA</w:t>
      </w:r>
      <w:bookmarkEnd w:id="96"/>
      <w:bookmarkEnd w:id="97"/>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9E2285" w:rsidRPr="009E2285">
        <w:rPr>
          <w:b/>
        </w:rPr>
        <w:t>Ugunsdrošo šķīdinātāju skapju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9E2285">
        <w:rPr>
          <w:b/>
        </w:rPr>
        <w:t>7/09</w:t>
      </w:r>
      <w:r w:rsidR="00C27235" w:rsidRPr="005377AE">
        <w:rPr>
          <w:b/>
        </w:rPr>
        <w:t xml:space="preserve"> </w:t>
      </w:r>
      <w:r w:rsidR="00F535BE" w:rsidRPr="005377AE">
        <w:rPr>
          <w:b/>
        </w:rPr>
        <w:t>AK</w:t>
      </w:r>
      <w:r w:rsidR="00657C99">
        <w:rPr>
          <w:b/>
        </w:rPr>
        <w:t xml:space="preserve"> ERAF</w:t>
      </w:r>
    </w:p>
    <w:p w:rsidR="00AB200E" w:rsidRPr="005377AE" w:rsidRDefault="00AB200E" w:rsidP="00AB200E">
      <w:pPr>
        <w:pStyle w:val="Header"/>
        <w:jc w:val="both"/>
        <w:rPr>
          <w:b/>
        </w:rPr>
      </w:pP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9E2285" w:rsidRPr="009E2285">
        <w:rPr>
          <w:b/>
        </w:rPr>
        <w:t>Ugunsdrošo šķīdinātāju skapju piegāde Latvijas Organiskās sintēzes institūtam</w:t>
      </w:r>
      <w:r w:rsidRPr="005377AE">
        <w:rPr>
          <w:b/>
        </w:rPr>
        <w:t>”</w:t>
      </w:r>
    </w:p>
    <w:p w:rsidR="008C3099" w:rsidRDefault="009E2285" w:rsidP="008C3099">
      <w:pPr>
        <w:pStyle w:val="Header"/>
        <w:rPr>
          <w:b/>
        </w:rPr>
      </w:pPr>
      <w:r>
        <w:rPr>
          <w:b/>
        </w:rPr>
        <w:t>ID Nr.: OSI 2017/09</w:t>
      </w:r>
      <w:r w:rsidR="008C3099" w:rsidRPr="005377AE">
        <w:rPr>
          <w:b/>
        </w:rPr>
        <w:t xml:space="preserve"> AK</w:t>
      </w:r>
      <w:r w:rsidR="00657C99">
        <w:rPr>
          <w:b/>
        </w:rPr>
        <w:t xml:space="preserve"> ERAF</w:t>
      </w:r>
    </w:p>
    <w:p w:rsidR="008C3099" w:rsidRDefault="008C3099" w:rsidP="008C3099">
      <w:pPr>
        <w:pStyle w:val="Header"/>
        <w:rPr>
          <w:b/>
        </w:rPr>
      </w:pP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98" w:name="_Toc289092139"/>
            <w:bookmarkStart w:id="99" w:name="_Toc289171997"/>
            <w:r w:rsidRPr="003132FB">
              <w:rPr>
                <w:b/>
              </w:rPr>
              <w:t>Kods katalogā</w:t>
            </w:r>
            <w:bookmarkEnd w:id="98"/>
            <w:bookmarkEnd w:id="99"/>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00" w:name="_Toc289092140"/>
            <w:bookmarkStart w:id="101" w:name="_Toc289171998"/>
            <w:r w:rsidRPr="003132FB">
              <w:rPr>
                <w:b/>
              </w:rPr>
              <w:t xml:space="preserve">Preces </w:t>
            </w:r>
            <w:r w:rsidRPr="003132FB">
              <w:t>(vai pakalpojuma)</w:t>
            </w:r>
            <w:r w:rsidRPr="003132FB">
              <w:rPr>
                <w:b/>
              </w:rPr>
              <w:t xml:space="preserve"> nosaukums</w:t>
            </w:r>
            <w:bookmarkEnd w:id="100"/>
            <w:bookmarkEnd w:id="101"/>
          </w:p>
        </w:tc>
        <w:tc>
          <w:tcPr>
            <w:tcW w:w="1134" w:type="dxa"/>
            <w:vAlign w:val="center"/>
          </w:tcPr>
          <w:p w:rsidR="00657C99" w:rsidRPr="003132FB" w:rsidRDefault="00657C99" w:rsidP="00657C99">
            <w:pPr>
              <w:jc w:val="center"/>
              <w:rPr>
                <w:b/>
              </w:rPr>
            </w:pPr>
            <w:bookmarkStart w:id="102" w:name="_Toc289092141"/>
            <w:bookmarkStart w:id="103" w:name="_Toc289171999"/>
            <w:r w:rsidRPr="003132FB">
              <w:rPr>
                <w:b/>
              </w:rPr>
              <w:t>Preces vienība</w:t>
            </w:r>
            <w:bookmarkEnd w:id="102"/>
            <w:bookmarkEnd w:id="103"/>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4" w:name="FORMA_IV_4"/>
      <w:r w:rsidRPr="00A66533">
        <w:rPr>
          <w:b/>
        </w:rPr>
        <w:t>FORMAS</w:t>
      </w:r>
      <w:bookmarkEnd w:id="104"/>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05" w:name="_Toc313875869"/>
      <w:bookmarkStart w:id="106" w:name="_Toc484175765"/>
      <w:r>
        <w:t>4</w:t>
      </w:r>
      <w:r w:rsidR="009267EC" w:rsidRPr="00A66533">
        <w:t>.1.FORMA</w:t>
      </w:r>
      <w:bookmarkEnd w:id="105"/>
      <w:bookmarkEnd w:id="106"/>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Default="00A77C80" w:rsidP="00A77C80">
            <w:pPr>
              <w:rPr>
                <w:b/>
              </w:rPr>
            </w:pPr>
            <w:r>
              <w:rPr>
                <w:b/>
              </w:rPr>
              <w:t>Statuss (mazais vai vidējais uzņēmums)</w:t>
            </w:r>
            <w:r w:rsidR="00EF6EDC" w:rsidRPr="00C561A8">
              <w:rPr>
                <w:b/>
              </w:rPr>
              <w:t>:</w:t>
            </w:r>
          </w:p>
          <w:p w:rsidR="00A77C80" w:rsidRPr="00A77C80" w:rsidRDefault="00A77C80" w:rsidP="00A77C80">
            <w:pPr>
              <w:rPr>
                <w:b/>
                <w:sz w:val="20"/>
                <w:szCs w:val="20"/>
              </w:rPr>
            </w:pPr>
            <w:r>
              <w:rPr>
                <w:b/>
                <w:sz w:val="20"/>
                <w:szCs w:val="20"/>
              </w:rPr>
              <w:t>(</w:t>
            </w:r>
            <w:r w:rsidRPr="00A77C80">
              <w:rPr>
                <w:b/>
                <w:sz w:val="20"/>
                <w:szCs w:val="20"/>
              </w:rPr>
              <w:t>skat. OV L124, 20.5.2003.</w:t>
            </w:r>
            <w:r>
              <w:rPr>
                <w:b/>
                <w:sz w:val="20"/>
                <w:szCs w:val="20"/>
              </w:rPr>
              <w:t>)</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07" w:name="_Toc313875870"/>
      <w:bookmarkStart w:id="108" w:name="_Toc484175766"/>
      <w:r>
        <w:t>4</w:t>
      </w:r>
      <w:r w:rsidR="009267EC" w:rsidRPr="00A66533">
        <w:t>.2.FORMA</w:t>
      </w:r>
      <w:bookmarkEnd w:id="107"/>
      <w:bookmarkEnd w:id="10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2"/>
      <w:footerReference w:type="even" r:id="rId13"/>
      <w:footerReference w:type="default" r:id="rId14"/>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47" w:rsidRDefault="00A16147">
      <w:r>
        <w:separator/>
      </w:r>
    </w:p>
    <w:p w:rsidR="00A16147" w:rsidRDefault="00A16147"/>
    <w:p w:rsidR="00A16147" w:rsidRDefault="00A16147"/>
  </w:endnote>
  <w:endnote w:type="continuationSeparator" w:id="0">
    <w:p w:rsidR="00A16147" w:rsidRDefault="00A16147">
      <w:r>
        <w:continuationSeparator/>
      </w:r>
    </w:p>
    <w:p w:rsidR="00A16147" w:rsidRDefault="00A16147"/>
    <w:p w:rsidR="00A16147" w:rsidRDefault="00A161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7" w:rsidRDefault="00A16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147" w:rsidRDefault="00A16147">
    <w:pPr>
      <w:pStyle w:val="Footer"/>
      <w:ind w:right="360"/>
    </w:pPr>
  </w:p>
  <w:p w:rsidR="00A16147" w:rsidRDefault="00A161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7" w:rsidRDefault="00A16147" w:rsidP="0013038D">
    <w:pPr>
      <w:pStyle w:val="Footer"/>
      <w:pBdr>
        <w:top w:val="single" w:sz="4" w:space="1" w:color="auto"/>
      </w:pBdr>
      <w:jc w:val="center"/>
    </w:pPr>
    <w:fldSimple w:instr=" PAGE   \* MERGEFORMAT ">
      <w:r>
        <w:rPr>
          <w:noProof/>
        </w:rPr>
        <w:t>45</w:t>
      </w:r>
    </w:fldSimple>
  </w:p>
  <w:p w:rsidR="00A16147" w:rsidRDefault="00A161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47" w:rsidRDefault="00A16147">
      <w:r>
        <w:separator/>
      </w:r>
    </w:p>
    <w:p w:rsidR="00A16147" w:rsidRDefault="00A16147"/>
    <w:p w:rsidR="00A16147" w:rsidRDefault="00A16147"/>
  </w:footnote>
  <w:footnote w:type="continuationSeparator" w:id="0">
    <w:p w:rsidR="00A16147" w:rsidRDefault="00A16147">
      <w:r>
        <w:continuationSeparator/>
      </w:r>
    </w:p>
    <w:p w:rsidR="00A16147" w:rsidRDefault="00A16147"/>
    <w:p w:rsidR="00A16147" w:rsidRDefault="00A161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7" w:rsidRPr="00E47C3E" w:rsidRDefault="00A16147" w:rsidP="0013038D">
    <w:pPr>
      <w:jc w:val="center"/>
      <w:rPr>
        <w:sz w:val="20"/>
        <w:szCs w:val="20"/>
      </w:rPr>
    </w:pPr>
    <w:r w:rsidRPr="00C11340">
      <w:rPr>
        <w:sz w:val="20"/>
        <w:szCs w:val="20"/>
      </w:rPr>
      <w:t>Atklāta konkursa OSI 201</w:t>
    </w:r>
    <w:r>
      <w:rPr>
        <w:sz w:val="20"/>
        <w:szCs w:val="20"/>
      </w:rPr>
      <w:t>7/09</w:t>
    </w:r>
    <w:r w:rsidRPr="00C11340">
      <w:rPr>
        <w:sz w:val="20"/>
        <w:szCs w:val="20"/>
      </w:rPr>
      <w:t xml:space="preserve"> AK </w:t>
    </w:r>
    <w:r>
      <w:rPr>
        <w:sz w:val="20"/>
        <w:szCs w:val="20"/>
      </w:rPr>
      <w:t xml:space="preserve">ERAF </w:t>
    </w:r>
    <w:r w:rsidRPr="00C11340">
      <w:rPr>
        <w:sz w:val="20"/>
        <w:szCs w:val="20"/>
      </w:rPr>
      <w:t>nolikums</w:t>
    </w:r>
  </w:p>
  <w:p w:rsidR="00A16147" w:rsidRPr="00B949D0" w:rsidRDefault="00A16147" w:rsidP="006C2CC4">
    <w:pPr>
      <w:pBdr>
        <w:bottom w:val="single" w:sz="4" w:space="1" w:color="auto"/>
      </w:pBdr>
      <w:ind w:right="-46"/>
      <w:jc w:val="center"/>
      <w:rPr>
        <w:b/>
        <w:sz w:val="16"/>
        <w:szCs w:val="16"/>
        <w:lang w:eastAsia="lv-LV"/>
      </w:rPr>
    </w:pPr>
  </w:p>
  <w:p w:rsidR="00A16147" w:rsidRDefault="00A16147">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1">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4"/>
  </w:num>
  <w:num w:numId="3">
    <w:abstractNumId w:val="5"/>
  </w:num>
  <w:num w:numId="4">
    <w:abstractNumId w:val="6"/>
  </w:num>
  <w:num w:numId="5">
    <w:abstractNumId w:val="12"/>
  </w:num>
  <w:num w:numId="6">
    <w:abstractNumId w:val="24"/>
  </w:num>
  <w:num w:numId="7">
    <w:abstractNumId w:val="20"/>
  </w:num>
  <w:num w:numId="8">
    <w:abstractNumId w:val="10"/>
  </w:num>
  <w:num w:numId="9">
    <w:abstractNumId w:val="2"/>
  </w:num>
  <w:num w:numId="10">
    <w:abstractNumId w:val="3"/>
  </w:num>
  <w:num w:numId="11">
    <w:abstractNumId w:val="23"/>
  </w:num>
  <w:num w:numId="12">
    <w:abstractNumId w:val="19"/>
  </w:num>
  <w:num w:numId="13">
    <w:abstractNumId w:val="21"/>
  </w:num>
  <w:num w:numId="14">
    <w:abstractNumId w:val="25"/>
  </w:num>
  <w:num w:numId="15">
    <w:abstractNumId w:val="22"/>
  </w:num>
  <w:num w:numId="16">
    <w:abstractNumId w:val="7"/>
  </w:num>
  <w:num w:numId="17">
    <w:abstractNumId w:val="8"/>
  </w:num>
  <w:num w:numId="18">
    <w:abstractNumId w:val="14"/>
  </w:num>
  <w:num w:numId="19">
    <w:abstractNumId w:val="9"/>
  </w:num>
  <w:num w:numId="20">
    <w:abstractNumId w:val="11"/>
  </w:num>
  <w:num w:numId="21">
    <w:abstractNumId w:val="13"/>
  </w:num>
  <w:num w:numId="22">
    <w:abstractNumId w:val="18"/>
  </w:num>
  <w:num w:numId="23">
    <w:abstractNumId w:val="15"/>
  </w:num>
  <w:num w:numId="24">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0394"/>
    <w:rsid w:val="000B12B6"/>
    <w:rsid w:val="000B2248"/>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59FA"/>
    <w:rsid w:val="00147788"/>
    <w:rsid w:val="00147AEB"/>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2B7"/>
    <w:rsid w:val="002A0CFB"/>
    <w:rsid w:val="002A219F"/>
    <w:rsid w:val="002A4AF5"/>
    <w:rsid w:val="002A502E"/>
    <w:rsid w:val="002A54C3"/>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B76AB"/>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2D0"/>
    <w:rsid w:val="00597BC2"/>
    <w:rsid w:val="005A0384"/>
    <w:rsid w:val="005A080C"/>
    <w:rsid w:val="005A0F57"/>
    <w:rsid w:val="005A11C5"/>
    <w:rsid w:val="005A1AFA"/>
    <w:rsid w:val="005A35A9"/>
    <w:rsid w:val="005A3D95"/>
    <w:rsid w:val="005A490C"/>
    <w:rsid w:val="005A5523"/>
    <w:rsid w:val="005A557F"/>
    <w:rsid w:val="005A7461"/>
    <w:rsid w:val="005B02F1"/>
    <w:rsid w:val="005B07BD"/>
    <w:rsid w:val="005B0DDD"/>
    <w:rsid w:val="005B1BD8"/>
    <w:rsid w:val="005B2B93"/>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AD1"/>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9E4"/>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61BE6-C70A-4E7A-9A11-D6AE6E26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45</Pages>
  <Words>8899</Words>
  <Characters>63794</Characters>
  <Application>Microsoft Office Word</Application>
  <DocSecurity>0</DocSecurity>
  <Lines>531</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72548</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25</cp:revision>
  <cp:lastPrinted>2009-07-17T06:31:00Z</cp:lastPrinted>
  <dcterms:created xsi:type="dcterms:W3CDTF">2017-05-13T11:40:00Z</dcterms:created>
  <dcterms:modified xsi:type="dcterms:W3CDTF">2017-06-02T12:46:00Z</dcterms:modified>
</cp:coreProperties>
</file>