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  <w:r w:rsidRPr="007B7B33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-453390</wp:posOffset>
            </wp:positionV>
            <wp:extent cx="1028700" cy="7048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B9" w:rsidRPr="007B7B33" w:rsidRDefault="002103B9" w:rsidP="002103B9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right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widowControl/>
        <w:spacing w:before="120" w:after="120"/>
        <w:jc w:val="center"/>
        <w:rPr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7B7B33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9728DD" w:rsidRPr="007B7B33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7B7B33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7B7B33">
        <w:rPr>
          <w:b/>
          <w:sz w:val="36"/>
          <w:szCs w:val="36"/>
          <w:lang w:eastAsia="lv-LV"/>
        </w:rPr>
        <w:t>S</w:t>
      </w:r>
    </w:p>
    <w:p w:rsidR="009728DD" w:rsidRPr="007B7B33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9728D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9728DD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>Paziņojums par apspriedi ar ieinteresētajiem piegādātājiem</w:t>
      </w:r>
    </w:p>
    <w:p w:rsidR="00261ECA" w:rsidRPr="007B7B33" w:rsidRDefault="00261ECA" w:rsidP="009728DD">
      <w:pPr>
        <w:jc w:val="center"/>
        <w:rPr>
          <w:b/>
          <w:sz w:val="36"/>
          <w:szCs w:val="36"/>
          <w:lang w:eastAsia="lv-LV"/>
        </w:rPr>
      </w:pPr>
      <w:r>
        <w:rPr>
          <w:b/>
          <w:sz w:val="36"/>
          <w:szCs w:val="36"/>
          <w:lang w:eastAsia="lv-LV"/>
        </w:rPr>
        <w:t xml:space="preserve"> par plānoto iepirkumu</w:t>
      </w:r>
    </w:p>
    <w:p w:rsidR="009728DD" w:rsidRDefault="009728DD" w:rsidP="009728DD">
      <w:pPr>
        <w:jc w:val="center"/>
        <w:rPr>
          <w:b/>
          <w:sz w:val="36"/>
          <w:szCs w:val="36"/>
          <w:lang w:eastAsia="lv-LV"/>
        </w:rPr>
      </w:pPr>
    </w:p>
    <w:p w:rsidR="00200BBD" w:rsidRPr="007B7B33" w:rsidRDefault="00200BBD" w:rsidP="009728DD">
      <w:pPr>
        <w:jc w:val="center"/>
        <w:rPr>
          <w:b/>
          <w:sz w:val="36"/>
          <w:szCs w:val="36"/>
          <w:lang w:eastAsia="lv-LV"/>
        </w:rPr>
      </w:pPr>
    </w:p>
    <w:p w:rsidR="009728DD" w:rsidRPr="00200BBD" w:rsidRDefault="009728DD" w:rsidP="009728DD">
      <w:pPr>
        <w:jc w:val="center"/>
        <w:rPr>
          <w:b/>
          <w:sz w:val="36"/>
          <w:szCs w:val="36"/>
          <w:lang w:eastAsia="lv-LV"/>
        </w:rPr>
      </w:pPr>
      <w:bookmarkStart w:id="4" w:name="_Hlk340771171"/>
      <w:bookmarkStart w:id="5" w:name="_Toc289092133"/>
      <w:bookmarkStart w:id="6" w:name="_Toc289168764"/>
      <w:r w:rsidRPr="00200BBD">
        <w:rPr>
          <w:b/>
          <w:sz w:val="36"/>
          <w:szCs w:val="36"/>
          <w:lang w:eastAsia="lv-LV"/>
        </w:rPr>
        <w:t>„</w:t>
      </w:r>
      <w:bookmarkEnd w:id="4"/>
      <w:r w:rsidR="00200BBD">
        <w:rPr>
          <w:b/>
          <w:sz w:val="36"/>
          <w:szCs w:val="36"/>
          <w:lang w:eastAsia="lv-LV"/>
        </w:rPr>
        <w:t xml:space="preserve">Vispārīgā vienošanās par </w:t>
      </w:r>
      <w:r w:rsidRPr="00200BBD">
        <w:rPr>
          <w:b/>
          <w:sz w:val="36"/>
          <w:szCs w:val="36"/>
          <w:lang w:eastAsia="lv-LV"/>
        </w:rPr>
        <w:t xml:space="preserve">Latvijas </w:t>
      </w:r>
      <w:r w:rsidR="00261ECA" w:rsidRPr="00200BBD">
        <w:rPr>
          <w:b/>
          <w:sz w:val="36"/>
          <w:szCs w:val="36"/>
          <w:lang w:eastAsia="lv-LV"/>
        </w:rPr>
        <w:t>Organiskās sintēzes institūta</w:t>
      </w:r>
      <w:r w:rsidR="00200BBD" w:rsidRPr="00200BBD">
        <w:rPr>
          <w:b/>
          <w:sz w:val="36"/>
          <w:szCs w:val="36"/>
          <w:lang w:eastAsia="lv-LV"/>
        </w:rPr>
        <w:t xml:space="preserve"> zinātnis</w:t>
      </w:r>
      <w:r w:rsidR="00200BBD">
        <w:rPr>
          <w:b/>
          <w:sz w:val="36"/>
          <w:szCs w:val="36"/>
          <w:lang w:eastAsia="lv-LV"/>
        </w:rPr>
        <w:t>ko iekārtu servisa nodrošināšanu</w:t>
      </w:r>
      <w:r w:rsidRPr="00200BBD">
        <w:rPr>
          <w:b/>
          <w:sz w:val="36"/>
          <w:szCs w:val="36"/>
          <w:lang w:eastAsia="lv-LV"/>
        </w:rPr>
        <w:t>”</w:t>
      </w:r>
      <w:bookmarkEnd w:id="5"/>
      <w:bookmarkEnd w:id="6"/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7B7B33" w:rsidRDefault="009728DD" w:rsidP="009728DD">
      <w:pPr>
        <w:jc w:val="center"/>
        <w:rPr>
          <w:b/>
          <w:sz w:val="28"/>
          <w:szCs w:val="28"/>
          <w:lang w:eastAsia="lv-LV"/>
        </w:rPr>
      </w:pPr>
    </w:p>
    <w:p w:rsidR="009728DD" w:rsidRPr="009728DD" w:rsidRDefault="009728DD" w:rsidP="009728DD">
      <w:pPr>
        <w:jc w:val="center"/>
        <w:rPr>
          <w:sz w:val="28"/>
          <w:szCs w:val="28"/>
          <w:lang w:eastAsia="lv-LV"/>
        </w:rPr>
      </w:pPr>
    </w:p>
    <w:p w:rsidR="009728DD" w:rsidRDefault="009728DD">
      <w:pPr>
        <w:widowControl/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Apspriedes vieta un laiks</w:t>
      </w:r>
    </w:p>
    <w:p w:rsidR="00EB6750" w:rsidRPr="007B7B33" w:rsidRDefault="00EB6750" w:rsidP="007A428E">
      <w:pPr>
        <w:pStyle w:val="ListParagraph"/>
        <w:spacing w:line="276" w:lineRule="auto"/>
        <w:ind w:left="360"/>
        <w:jc w:val="both"/>
      </w:pPr>
      <w:r>
        <w:t xml:space="preserve">Apspriede tiks rīkota </w:t>
      </w:r>
      <w:r w:rsidRPr="00EB6750">
        <w:t>Latvijas Organiskās sintēzes institūta</w:t>
      </w:r>
      <w:r>
        <w:t xml:space="preserve"> mazajā konferenč</w:t>
      </w:r>
      <w:r w:rsidR="006C783D">
        <w:t xml:space="preserve">u zālē (4. stāvā), </w:t>
      </w:r>
      <w:r w:rsidR="006C783D" w:rsidRPr="001D10F2">
        <w:rPr>
          <w:highlight w:val="yellow"/>
        </w:rPr>
        <w:t>2019. gada 4</w:t>
      </w:r>
      <w:r w:rsidRPr="001D10F2">
        <w:rPr>
          <w:highlight w:val="yellow"/>
        </w:rPr>
        <w:t xml:space="preserve">. </w:t>
      </w:r>
      <w:r w:rsidR="006C783D" w:rsidRPr="001D10F2">
        <w:rPr>
          <w:highlight w:val="yellow"/>
        </w:rPr>
        <w:t>jūnijā</w:t>
      </w:r>
      <w:r w:rsidR="009D201A" w:rsidRPr="001D10F2">
        <w:rPr>
          <w:highlight w:val="yellow"/>
        </w:rPr>
        <w:t>, plkst. 11</w:t>
      </w:r>
      <w:r w:rsidRPr="001D10F2">
        <w:rPr>
          <w:highlight w:val="yellow"/>
        </w:rPr>
        <w:t>:00.</w:t>
      </w:r>
    </w:p>
    <w:p w:rsidR="00333FE9" w:rsidRPr="000D3EF6" w:rsidRDefault="00333FE9" w:rsidP="007A428E">
      <w:pPr>
        <w:pStyle w:val="ListParagraph"/>
        <w:spacing w:line="276" w:lineRule="auto"/>
        <w:ind w:left="360"/>
        <w:jc w:val="both"/>
      </w:pPr>
    </w:p>
    <w:p w:rsidR="00333FE9" w:rsidRPr="000D3EF6" w:rsidRDefault="00333FE9" w:rsidP="007A428E">
      <w:pPr>
        <w:spacing w:line="276" w:lineRule="auto"/>
        <w:jc w:val="both"/>
        <w:rPr>
          <w:color w:val="FF0000"/>
        </w:rPr>
      </w:pPr>
    </w:p>
    <w:p w:rsidR="00333FE9" w:rsidRPr="000D3EF6" w:rsidRDefault="00333FE9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6314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APP Latvijas Organiskās sintēzes institūts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Aizkraukles iela 21, Rīga, LV -1006, Latvija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LV08UNLA0050005032194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Artūrs Aksjonovs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+371 67014884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+371 67014813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arturs@osi.lv</w:t>
            </w:r>
          </w:p>
        </w:tc>
      </w:tr>
      <w:tr w:rsidR="00333FE9" w:rsidRPr="000D3EF6" w:rsidTr="006314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7A428E">
            <w:pPr>
              <w:spacing w:line="276" w:lineRule="auto"/>
            </w:pPr>
            <w:r w:rsidRPr="000D3EF6">
              <w:t>No 9.00 līdz 17.00</w:t>
            </w:r>
          </w:p>
        </w:tc>
      </w:tr>
    </w:tbl>
    <w:p w:rsidR="00333FE9" w:rsidRDefault="00333FE9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spacing w:line="276" w:lineRule="auto"/>
        <w:jc w:val="center"/>
        <w:rPr>
          <w:sz w:val="28"/>
          <w:szCs w:val="28"/>
        </w:rPr>
      </w:pPr>
    </w:p>
    <w:p w:rsidR="00EB6750" w:rsidRDefault="00EB6750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Pieteikšanās apspriedei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ind w:left="426"/>
        <w:jc w:val="both"/>
      </w:pPr>
      <w:r w:rsidRPr="00EB6750">
        <w:t>Pieteikties apspriedei var nosūtot savu pieteikumu uz e-pastu arturs@osi.lv. Pieteikumā jānorāda dalībnieka</w:t>
      </w:r>
      <w:r>
        <w:t xml:space="preserve"> </w:t>
      </w:r>
      <w:r w:rsidRPr="00EB6750">
        <w:t>nosaukums, reģistrācijas Nr. un</w:t>
      </w:r>
      <w:r>
        <w:t xml:space="preserve"> deleģētā</w:t>
      </w:r>
      <w:r w:rsidRPr="00EB6750">
        <w:t xml:space="preserve"> pārstāvja vārds un uzvārds.</w:t>
      </w: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EB6750" w:rsidP="007A428E">
      <w:pPr>
        <w:widowControl/>
        <w:tabs>
          <w:tab w:val="num" w:pos="502"/>
        </w:tabs>
        <w:spacing w:line="276" w:lineRule="auto"/>
        <w:jc w:val="both"/>
      </w:pPr>
    </w:p>
    <w:p w:rsidR="00EB6750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Apspriežamie jautājumi</w:t>
      </w:r>
    </w:p>
    <w:p w:rsidR="00A021A1" w:rsidRDefault="00A021A1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 w:rsidRPr="00A021A1">
        <w:t xml:space="preserve"> Piedāvātā vispārīgās vienošanās darbības </w:t>
      </w:r>
      <w:r>
        <w:t>modeļa</w:t>
      </w:r>
      <w:r w:rsidRPr="00A021A1">
        <w:t xml:space="preserve"> apspriešana</w:t>
      </w:r>
      <w:r>
        <w:t xml:space="preserve"> (vispārīgās vienošanās modeļa konspektīvu projektu var apskatīt dokumenta beigās).</w:t>
      </w:r>
    </w:p>
    <w:p w:rsidR="007275FA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7275FA">
        <w:t>Izpildīto darbu un piegādāto rezerves daļu garantijas perioda garums.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Prasības vispārīgās vienošanas dalībnieku atlasei.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Piegādātāju ieteikumi.</w:t>
      </w:r>
    </w:p>
    <w:p w:rsidR="00A021A1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</w:pPr>
      <w:r>
        <w:t xml:space="preserve"> </w:t>
      </w:r>
      <w:r w:rsidR="00A021A1">
        <w:t>Jautājumi pasūtītājam.</w:t>
      </w: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spacing w:line="276" w:lineRule="auto"/>
        <w:ind w:left="360"/>
        <w:jc w:val="both"/>
      </w:pPr>
    </w:p>
    <w:p w:rsidR="00A021A1" w:rsidRDefault="00A021A1" w:rsidP="007A428E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 w:rsidRPr="00A021A1">
        <w:rPr>
          <w:b/>
        </w:rPr>
        <w:t>Apspriedes dokumentēšana</w:t>
      </w:r>
      <w:r w:rsidR="006837DC">
        <w:rPr>
          <w:b/>
        </w:rPr>
        <w:t xml:space="preserve"> un informācijas publicēšana.</w:t>
      </w:r>
    </w:p>
    <w:p w:rsidR="00D23DF1" w:rsidRPr="0063147D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 xml:space="preserve"> </w:t>
      </w:r>
      <w:r w:rsidR="00D23DF1">
        <w:t>Apspriedes dalībnieki tiks reģistrēti.</w:t>
      </w:r>
    </w:p>
    <w:p w:rsidR="006837DC" w:rsidRPr="0063147D" w:rsidRDefault="001D10F2" w:rsidP="007A428E">
      <w:pPr>
        <w:widowControl/>
        <w:numPr>
          <w:ilvl w:val="1"/>
          <w:numId w:val="1"/>
        </w:numPr>
        <w:tabs>
          <w:tab w:val="clear" w:pos="360"/>
        </w:tabs>
        <w:spacing w:line="276" w:lineRule="auto"/>
        <w:ind w:left="709"/>
        <w:jc w:val="both"/>
        <w:rPr>
          <w:b/>
        </w:rPr>
      </w:pPr>
      <w:r>
        <w:t xml:space="preserve"> </w:t>
      </w:r>
      <w:r w:rsidR="006837DC">
        <w:t xml:space="preserve">Apspriede tiks dokumentēta un īss kopsavilkums par uzdotajiem </w:t>
      </w:r>
      <w:r w:rsidR="00183412">
        <w:t xml:space="preserve">jautājumiem, </w:t>
      </w:r>
      <w:r w:rsidR="006837DC">
        <w:t xml:space="preserve">saņemtajām atbildēm </w:t>
      </w:r>
      <w:r w:rsidR="00183412">
        <w:t xml:space="preserve">un pieņemtajiem lēmumiem </w:t>
      </w:r>
      <w:r w:rsidR="006837DC">
        <w:t>tiks publicēts Pasūtītāja mājaslapā 5 darba dienu laikā pēc apspriedes beigām.</w:t>
      </w:r>
    </w:p>
    <w:p w:rsidR="006837DC" w:rsidRDefault="006837DC" w:rsidP="006837DC">
      <w:pPr>
        <w:widowControl/>
        <w:ind w:left="360"/>
        <w:jc w:val="both"/>
      </w:pPr>
    </w:p>
    <w:p w:rsidR="006837DC" w:rsidRPr="006837DC" w:rsidRDefault="006837DC" w:rsidP="006837DC">
      <w:pPr>
        <w:widowControl/>
        <w:ind w:left="360"/>
        <w:jc w:val="both"/>
      </w:pPr>
    </w:p>
    <w:p w:rsidR="006837DC" w:rsidRDefault="006837DC" w:rsidP="006837DC">
      <w:pPr>
        <w:widowControl/>
        <w:numPr>
          <w:ilvl w:val="0"/>
          <w:numId w:val="1"/>
        </w:numPr>
        <w:jc w:val="both"/>
        <w:rPr>
          <w:b/>
        </w:rPr>
      </w:pPr>
      <w:r>
        <w:rPr>
          <w:b/>
        </w:rPr>
        <w:t>Plānotais vispārīgās vienošanās</w:t>
      </w:r>
      <w:r w:rsidR="004E5352">
        <w:rPr>
          <w:b/>
        </w:rPr>
        <w:t xml:space="preserve"> par </w:t>
      </w:r>
      <w:r w:rsidR="004E5352" w:rsidRPr="004E5352">
        <w:rPr>
          <w:b/>
        </w:rPr>
        <w:t>zinātnisko iekārtu servisa nodrošināšanu</w:t>
      </w:r>
      <w:r>
        <w:rPr>
          <w:b/>
        </w:rPr>
        <w:t xml:space="preserve"> darbības modelis.</w:t>
      </w:r>
    </w:p>
    <w:p w:rsidR="0063147D" w:rsidRDefault="0063147D" w:rsidP="0063147D">
      <w:pPr>
        <w:widowControl/>
        <w:tabs>
          <w:tab w:val="num" w:pos="502"/>
        </w:tabs>
        <w:ind w:left="360"/>
        <w:jc w:val="both"/>
      </w:pPr>
    </w:p>
    <w:p w:rsidR="00EB6750" w:rsidRDefault="0063147D" w:rsidP="00EB6750">
      <w:pPr>
        <w:widowControl/>
        <w:tabs>
          <w:tab w:val="num" w:pos="502"/>
        </w:tabs>
        <w:jc w:val="both"/>
      </w:pPr>
      <w:r>
        <w:tab/>
        <w:t xml:space="preserve">Plānotā vispārīgā vienošanā par </w:t>
      </w:r>
      <w:r w:rsidRPr="0063147D">
        <w:t xml:space="preserve">zinātnisko iekārtu servisa nodrošināšanu </w:t>
      </w:r>
      <w:r>
        <w:t xml:space="preserve">sevī iekļauj </w:t>
      </w:r>
      <w:r w:rsidRPr="0063147D">
        <w:t>iekārtu nepieciešamo apkopju, remont</w:t>
      </w:r>
      <w:r>
        <w:t xml:space="preserve">u un rezerves daļu nodrošināšanu </w:t>
      </w:r>
      <w:r w:rsidRPr="0063147D">
        <w:t>Latvij</w:t>
      </w:r>
      <w:r>
        <w:t>as Organiskās sintēzes institūta izmantotajām zinātniskajām un laboratorijas iekārtām.</w:t>
      </w:r>
    </w:p>
    <w:p w:rsidR="00370786" w:rsidRDefault="00370786" w:rsidP="00EB6750">
      <w:pPr>
        <w:widowControl/>
        <w:tabs>
          <w:tab w:val="num" w:pos="502"/>
        </w:tabs>
        <w:jc w:val="both"/>
      </w:pPr>
    </w:p>
    <w:p w:rsidR="0063147D" w:rsidRDefault="00E96DE3" w:rsidP="00370786">
      <w:pPr>
        <w:widowControl/>
        <w:tabs>
          <w:tab w:val="num" w:pos="502"/>
        </w:tabs>
        <w:jc w:val="center"/>
        <w:rPr>
          <w:b/>
        </w:rPr>
      </w:pPr>
      <w:r>
        <w:rPr>
          <w:b/>
        </w:rPr>
        <w:lastRenderedPageBreak/>
        <w:t>Plānotie vispārīgās v</w:t>
      </w:r>
      <w:r w:rsidR="009040CD">
        <w:rPr>
          <w:b/>
        </w:rPr>
        <w:t>ienošanās noteikumi</w:t>
      </w:r>
    </w:p>
    <w:p w:rsidR="00E96DE3" w:rsidRDefault="00E96DE3" w:rsidP="00370786">
      <w:pPr>
        <w:widowControl/>
        <w:tabs>
          <w:tab w:val="num" w:pos="502"/>
        </w:tabs>
        <w:jc w:val="center"/>
        <w:rPr>
          <w:b/>
        </w:rPr>
      </w:pPr>
    </w:p>
    <w:p w:rsidR="00370786" w:rsidRPr="0063147D" w:rsidRDefault="00370786" w:rsidP="00370786">
      <w:pPr>
        <w:widowControl/>
        <w:tabs>
          <w:tab w:val="num" w:pos="502"/>
        </w:tabs>
        <w:jc w:val="center"/>
        <w:rPr>
          <w:b/>
        </w:rPr>
      </w:pPr>
    </w:p>
    <w:p w:rsidR="0063147D" w:rsidRDefault="0063147D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 xml:space="preserve">Ir plānots, ka institūtā esošās iekārtas tiks sadalītas lotēs pēc iekārtas ražotāja. Tomēr katras lotes ietvaros </w:t>
      </w:r>
      <w:r w:rsidR="007275FA">
        <w:t xml:space="preserve">konkrēto līgumu slēgšanai </w:t>
      </w:r>
      <w:r>
        <w:t>paredzēta atkārtota, brīva konkurence starp visiem piegādātājiem ar kuriem tiks noslēgta vispārīgā vienošanās.</w:t>
      </w:r>
    </w:p>
    <w:p w:rsidR="00E00019" w:rsidRDefault="00E00019" w:rsidP="00E00019">
      <w:pPr>
        <w:pStyle w:val="ListParagraph"/>
        <w:widowControl/>
        <w:ind w:left="360"/>
        <w:jc w:val="both"/>
      </w:pPr>
    </w:p>
    <w:p w:rsidR="00E00019" w:rsidRDefault="00730110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S</w:t>
      </w:r>
      <w:r w:rsidR="00E00019">
        <w:t>askaņā ar</w:t>
      </w:r>
      <w:r>
        <w:t xml:space="preserve"> OSI īpašumā esošo</w:t>
      </w:r>
      <w:r w:rsidR="00E00019">
        <w:t xml:space="preserve"> iekārtu ražotājiem </w:t>
      </w:r>
      <w:r>
        <w:t>ir plānotas</w:t>
      </w:r>
      <w:r w:rsidR="00E00019">
        <w:t xml:space="preserve"> sekojošas</w:t>
      </w:r>
      <w:r>
        <w:t xml:space="preserve"> lotes</w:t>
      </w:r>
      <w:r w:rsidR="00E00019">
        <w:t>: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>AD Instruments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Agilent</w:t>
      </w:r>
      <w:proofErr w:type="spellEnd"/>
      <w:r>
        <w:t xml:space="preserve"> Technologies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Allentown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Armen</w:t>
      </w:r>
      <w:proofErr w:type="spellEnd"/>
      <w:r>
        <w:t xml:space="preserve"> Instruments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Beckmann</w:t>
      </w:r>
      <w:proofErr w:type="spellEnd"/>
      <w:r>
        <w:t xml:space="preserve"> </w:t>
      </w:r>
      <w:proofErr w:type="spellStart"/>
      <w:r>
        <w:t>Coulter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Biotage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>Bruker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Buchi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Costech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Edinburgh</w:t>
      </w:r>
      <w:proofErr w:type="spellEnd"/>
      <w:r>
        <w:t xml:space="preserve"> Instruments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FisherScientific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FleCT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 xml:space="preserve">GE </w:t>
      </w:r>
      <w:proofErr w:type="spellStart"/>
      <w:r>
        <w:t>Healthcare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Genevac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Grace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Hereaus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Huber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Infors</w:t>
      </w:r>
      <w:proofErr w:type="spellEnd"/>
      <w:r>
        <w:t xml:space="preserve"> HT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Leica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Malvern</w:t>
      </w:r>
      <w:proofErr w:type="spellEnd"/>
      <w:r>
        <w:t xml:space="preserve"> Instruments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Matachana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Mbraun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Millipore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Nikon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Oroboros</w:t>
      </w:r>
      <w:proofErr w:type="spellEnd"/>
      <w:r>
        <w:t xml:space="preserve"> Instruments</w:t>
      </w:r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 xml:space="preserve">Philips Medical </w:t>
      </w:r>
      <w:proofErr w:type="spellStart"/>
      <w:r>
        <w:t>Systems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Rigaku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Shimadzu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Steelco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Steroglass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Tecan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ThermoScientific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TriFoil</w:t>
      </w:r>
      <w:proofErr w:type="spellEnd"/>
      <w:r>
        <w:t xml:space="preserve"> </w:t>
      </w:r>
      <w:proofErr w:type="spellStart"/>
      <w:r>
        <w:t>Imaging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 xml:space="preserve">TSE </w:t>
      </w:r>
      <w:proofErr w:type="spellStart"/>
      <w:r>
        <w:t>Systems</w:t>
      </w:r>
      <w:proofErr w:type="spellEnd"/>
    </w:p>
    <w:p w:rsidR="005561AC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proofErr w:type="spellStart"/>
      <w:r>
        <w:t>Vacuubrand</w:t>
      </w:r>
      <w:proofErr w:type="spellEnd"/>
    </w:p>
    <w:p w:rsidR="00E00019" w:rsidRDefault="005561AC" w:rsidP="005561AC">
      <w:pPr>
        <w:pStyle w:val="ListParagraph"/>
        <w:widowControl/>
        <w:numPr>
          <w:ilvl w:val="1"/>
          <w:numId w:val="5"/>
        </w:numPr>
        <w:tabs>
          <w:tab w:val="left" w:pos="1701"/>
        </w:tabs>
        <w:ind w:left="1701"/>
        <w:jc w:val="both"/>
      </w:pPr>
      <w:r>
        <w:t xml:space="preserve">Waters &amp; </w:t>
      </w:r>
      <w:proofErr w:type="spellStart"/>
      <w:r>
        <w:t>Micromass</w:t>
      </w:r>
      <w:proofErr w:type="spellEnd"/>
    </w:p>
    <w:p w:rsidR="00370786" w:rsidRDefault="00370786" w:rsidP="00370786">
      <w:pPr>
        <w:pStyle w:val="ListParagraph"/>
        <w:widowControl/>
        <w:ind w:left="360"/>
        <w:jc w:val="both"/>
      </w:pPr>
    </w:p>
    <w:p w:rsidR="0063147D" w:rsidRDefault="0063147D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 xml:space="preserve">Vispārīgo vienošanos plānots slēgt ar visiem pretendentiem, kas būs iesnieguši atbilstošu piedāvājumu par vismaz vienu no iepirkuma lotēm, kā arī būs atbilstoši </w:t>
      </w:r>
      <w:r w:rsidR="004938E9">
        <w:t>pārējā</w:t>
      </w:r>
      <w:r w:rsidR="000D7F36">
        <w:t>m</w:t>
      </w:r>
      <w:r>
        <w:t xml:space="preserve"> iepirkuma prasībām.</w:t>
      </w:r>
    </w:p>
    <w:p w:rsidR="00370786" w:rsidRDefault="00370786" w:rsidP="00370786">
      <w:pPr>
        <w:pStyle w:val="ListParagraph"/>
      </w:pPr>
    </w:p>
    <w:p w:rsidR="004F5206" w:rsidRDefault="0063147D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 xml:space="preserve">Ir paredzēts, ka pretendentiem būs jāiesniedz piedāvājumu gan par </w:t>
      </w:r>
      <w:r w:rsidR="004938E9">
        <w:t>OSI īpašumā esošo</w:t>
      </w:r>
      <w:r>
        <w:t xml:space="preserve"> iekārtu rezerves daļām gan arī s</w:t>
      </w:r>
      <w:r w:rsidR="004F5206">
        <w:t xml:space="preserve">ervisa darba stundas izcenojumu. </w:t>
      </w:r>
    </w:p>
    <w:p w:rsidR="004F5206" w:rsidRDefault="004F5206" w:rsidP="004F5206">
      <w:pPr>
        <w:pStyle w:val="ListParagraph"/>
      </w:pPr>
    </w:p>
    <w:p w:rsidR="00954301" w:rsidRDefault="00954301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Tāpat tiek izskatīts variants, ka pretendenti iesniedz piedāvājumus ar cenu par vienu iekārtas apkopes reizi.</w:t>
      </w:r>
    </w:p>
    <w:p w:rsidR="00954301" w:rsidRDefault="00954301" w:rsidP="00954301">
      <w:pPr>
        <w:pStyle w:val="ListParagraph"/>
      </w:pPr>
    </w:p>
    <w:p w:rsidR="0063147D" w:rsidRDefault="004F5206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Papildus piedāvājumā būs jāiekļauj arī iekārtu ražotāja servisa inženiera darba stundas izcenojums, gadījumiem, kad nepieciešamie darbi ir pārāk sarežģīti un tos nav iespējams paveikt ar vietējo servisa inženieru spēkiem.</w:t>
      </w:r>
    </w:p>
    <w:p w:rsidR="004F5206" w:rsidRPr="004F5206" w:rsidRDefault="004F5206" w:rsidP="004F5206">
      <w:pPr>
        <w:pStyle w:val="ListParagraph"/>
        <w:widowControl/>
        <w:ind w:left="360"/>
        <w:jc w:val="both"/>
        <w:rPr>
          <w:i/>
        </w:rPr>
      </w:pPr>
      <w:r w:rsidRPr="004F5206">
        <w:rPr>
          <w:i/>
        </w:rPr>
        <w:t>(Šis punkts attiecas uz iekārtu ražotāju tiešajiem pārstāvjiem.)</w:t>
      </w:r>
    </w:p>
    <w:p w:rsidR="00370786" w:rsidRDefault="00370786" w:rsidP="00370786">
      <w:pPr>
        <w:pStyle w:val="ListParagraph"/>
      </w:pPr>
    </w:p>
    <w:p w:rsidR="00EB6750" w:rsidRDefault="0063147D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Pretendenti drīkstēs piedāvāt gan oriģinālās gan arī oriģinālajām ekvivalentas rezerves daļas no citiem ražotājiem.</w:t>
      </w:r>
    </w:p>
    <w:p w:rsidR="00370786" w:rsidRDefault="00370786" w:rsidP="00370786">
      <w:pPr>
        <w:pStyle w:val="ListParagraph"/>
      </w:pPr>
    </w:p>
    <w:p w:rsidR="00627CD1" w:rsidRDefault="00627CD1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Tāpat pretendentu pienākums būs arī uzstādīt Pasūtītāja no trešajām personām iegādātas rezerves daļas, gadījumos, ja būs tāda nepieciešamība.</w:t>
      </w:r>
    </w:p>
    <w:p w:rsidR="00627CD1" w:rsidRDefault="00627CD1" w:rsidP="00627CD1">
      <w:pPr>
        <w:pStyle w:val="ListParagraph"/>
      </w:pPr>
    </w:p>
    <w:p w:rsidR="0063147D" w:rsidRDefault="004F5206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S</w:t>
      </w:r>
      <w:r w:rsidR="0063147D">
        <w:t>ervisa inženieriem netiks obligāti prasīts</w:t>
      </w:r>
      <w:r>
        <w:t xml:space="preserve"> iekārtu ražotāja</w:t>
      </w:r>
      <w:r w:rsidR="0063147D">
        <w:t xml:space="preserve"> sertifikāts par apmācību remontējamo iekārtu apkalpošanā.</w:t>
      </w:r>
    </w:p>
    <w:p w:rsidR="00370786" w:rsidRDefault="00370786" w:rsidP="00370786">
      <w:pPr>
        <w:pStyle w:val="ListParagraph"/>
      </w:pPr>
    </w:p>
    <w:p w:rsidR="007275FA" w:rsidRDefault="007275FA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Līguma izpildītājam būs jādod ga</w:t>
      </w:r>
      <w:r w:rsidR="00357EDE">
        <w:t>rantija izpildītajiem darbiem un</w:t>
      </w:r>
      <w:r>
        <w:t xml:space="preserve"> uzstādītajām rezerves daļām</w:t>
      </w:r>
      <w:r w:rsidR="00627CD1">
        <w:t xml:space="preserve"> (prasība par garantiju rezerves daļām nav spēkā, ja tiek uzstādītas Pasūtītāja paša iegādātas </w:t>
      </w:r>
      <w:r w:rsidR="00AD285C" w:rsidRPr="00AD285C">
        <w:t xml:space="preserve">rezerves </w:t>
      </w:r>
      <w:r w:rsidR="00627CD1">
        <w:t>daļas)</w:t>
      </w:r>
      <w:r>
        <w:t>.</w:t>
      </w:r>
    </w:p>
    <w:p w:rsidR="008062D0" w:rsidRDefault="008062D0" w:rsidP="008062D0">
      <w:pPr>
        <w:pStyle w:val="ListParagraph"/>
        <w:widowControl/>
        <w:ind w:left="360"/>
        <w:jc w:val="both"/>
      </w:pPr>
      <w:r>
        <w:t>Plānotie termiņi ir vismaz 1 gads gan izpildītajiem darbiem gan rezerves daļām (ja vien iekārtas ražotājs nav noteicis īsāku attie</w:t>
      </w:r>
      <w:r w:rsidR="00867B33">
        <w:t>cīgās daļas kalpošanas termiņu</w:t>
      </w:r>
      <w:r>
        <w:t xml:space="preserve">) un tāpat </w:t>
      </w:r>
    </w:p>
    <w:p w:rsidR="00370786" w:rsidRDefault="00370786" w:rsidP="00370786">
      <w:pPr>
        <w:pStyle w:val="ListParagraph"/>
        <w:widowControl/>
        <w:ind w:left="360"/>
        <w:jc w:val="both"/>
      </w:pPr>
    </w:p>
    <w:p w:rsidR="007275FA" w:rsidRDefault="00357EDE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Tipisku defektu vai periodisko apkopju gadījumā visiem piegādātājiem tiks nosūtīta OSI tehniskā dienesta sagatavota informācija par nepieciešamajiem darbiem un/vai rezerves daļām un katrs piegādātājs varēs iesniegt savu piedāvājumu atbilstoši nosūtītajām prasībām.</w:t>
      </w:r>
    </w:p>
    <w:p w:rsidR="00370786" w:rsidRDefault="00370786" w:rsidP="00370786">
      <w:pPr>
        <w:pStyle w:val="ListParagraph"/>
      </w:pPr>
    </w:p>
    <w:p w:rsidR="00FB4831" w:rsidRDefault="00FB4831" w:rsidP="00370786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 w:rsidRPr="00D135C7">
        <w:t>Netipisku defektu vai nes</w:t>
      </w:r>
      <w:r w:rsidR="00D135C7" w:rsidRPr="00D135C7">
        <w:t>kaidros gadījumos, piegādātājiem, papildus problēmas aprakstam no OSI tehniskā dienesta, būs iespējams klātienē iepazīties ar problēmu un novērtēt tās iespējamos risinājumus.</w:t>
      </w:r>
    </w:p>
    <w:p w:rsidR="00370786" w:rsidRDefault="00370786" w:rsidP="00370786">
      <w:pPr>
        <w:pStyle w:val="ListParagraph"/>
      </w:pPr>
    </w:p>
    <w:p w:rsidR="00333FE9" w:rsidRPr="00370786" w:rsidRDefault="00D135C7" w:rsidP="004938E9">
      <w:pPr>
        <w:pStyle w:val="ListParagraph"/>
        <w:widowControl/>
        <w:numPr>
          <w:ilvl w:val="0"/>
          <w:numId w:val="2"/>
        </w:numPr>
        <w:tabs>
          <w:tab w:val="num" w:pos="502"/>
        </w:tabs>
        <w:jc w:val="both"/>
      </w:pPr>
      <w:r>
        <w:t>Steidzamos gadījumos Pasūtītājam būs tiesības</w:t>
      </w:r>
      <w:r w:rsidR="00925D14">
        <w:t xml:space="preserve"> tiešā veidā</w:t>
      </w:r>
      <w:r>
        <w:t xml:space="preserve"> izvēlēties pakalpojuma sniedzēju pamatojoties uz sākotnēji iesniegtajiem piedāvājumiem par rezerves daļām un servisa izmaksām.</w:t>
      </w:r>
    </w:p>
    <w:p w:rsidR="00EB6750" w:rsidRPr="00D135C7" w:rsidRDefault="00EB6750" w:rsidP="004938E9">
      <w:pPr>
        <w:jc w:val="both"/>
      </w:pPr>
    </w:p>
    <w:p w:rsidR="00EB6750" w:rsidRPr="00D135C7" w:rsidRDefault="00EB6750" w:rsidP="004938E9">
      <w:pPr>
        <w:jc w:val="both"/>
      </w:pPr>
    </w:p>
    <w:p w:rsidR="00EB6750" w:rsidRDefault="00EB6750" w:rsidP="004938E9">
      <w:pPr>
        <w:jc w:val="both"/>
      </w:pPr>
    </w:p>
    <w:p w:rsidR="004938E9" w:rsidRPr="00D135C7" w:rsidRDefault="004938E9" w:rsidP="004938E9">
      <w:pPr>
        <w:jc w:val="both"/>
      </w:pPr>
    </w:p>
    <w:sectPr w:rsidR="004938E9" w:rsidRPr="00D135C7" w:rsidSect="002103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2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459B2"/>
    <w:multiLevelType w:val="multilevel"/>
    <w:tmpl w:val="A110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C770D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D777BD"/>
    <w:multiLevelType w:val="multilevel"/>
    <w:tmpl w:val="A10C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6204"/>
    <w:rsid w:val="0003752D"/>
    <w:rsid w:val="00076218"/>
    <w:rsid w:val="00096204"/>
    <w:rsid w:val="000D7F36"/>
    <w:rsid w:val="001129D8"/>
    <w:rsid w:val="00183412"/>
    <w:rsid w:val="00192CB3"/>
    <w:rsid w:val="001D10F2"/>
    <w:rsid w:val="00200BBD"/>
    <w:rsid w:val="002103B9"/>
    <w:rsid w:val="00261ECA"/>
    <w:rsid w:val="002B0B63"/>
    <w:rsid w:val="00302162"/>
    <w:rsid w:val="00333FE9"/>
    <w:rsid w:val="00357EDE"/>
    <w:rsid w:val="00370786"/>
    <w:rsid w:val="0046631D"/>
    <w:rsid w:val="0049050A"/>
    <w:rsid w:val="004938E9"/>
    <w:rsid w:val="004E5352"/>
    <w:rsid w:val="004F5206"/>
    <w:rsid w:val="005561AC"/>
    <w:rsid w:val="005B4A83"/>
    <w:rsid w:val="00627CD1"/>
    <w:rsid w:val="0063147D"/>
    <w:rsid w:val="00662055"/>
    <w:rsid w:val="006837DC"/>
    <w:rsid w:val="006854C9"/>
    <w:rsid w:val="006A1E1A"/>
    <w:rsid w:val="006C783D"/>
    <w:rsid w:val="007275FA"/>
    <w:rsid w:val="00730110"/>
    <w:rsid w:val="00787EC5"/>
    <w:rsid w:val="007A428E"/>
    <w:rsid w:val="007E0E69"/>
    <w:rsid w:val="008062AB"/>
    <w:rsid w:val="008062D0"/>
    <w:rsid w:val="00867B33"/>
    <w:rsid w:val="008F68D6"/>
    <w:rsid w:val="009040CD"/>
    <w:rsid w:val="00925D14"/>
    <w:rsid w:val="00954301"/>
    <w:rsid w:val="00970C17"/>
    <w:rsid w:val="009728DD"/>
    <w:rsid w:val="00973C3B"/>
    <w:rsid w:val="009D201A"/>
    <w:rsid w:val="00A021A1"/>
    <w:rsid w:val="00A14EAA"/>
    <w:rsid w:val="00A5421D"/>
    <w:rsid w:val="00A74E3C"/>
    <w:rsid w:val="00A83F9A"/>
    <w:rsid w:val="00AD285C"/>
    <w:rsid w:val="00B140A6"/>
    <w:rsid w:val="00B20037"/>
    <w:rsid w:val="00B24045"/>
    <w:rsid w:val="00B2760D"/>
    <w:rsid w:val="00BA537B"/>
    <w:rsid w:val="00C244A6"/>
    <w:rsid w:val="00CD50A3"/>
    <w:rsid w:val="00D135C7"/>
    <w:rsid w:val="00D23DF1"/>
    <w:rsid w:val="00D26886"/>
    <w:rsid w:val="00D27DA5"/>
    <w:rsid w:val="00D31613"/>
    <w:rsid w:val="00DF7FDF"/>
    <w:rsid w:val="00E00019"/>
    <w:rsid w:val="00E51ED7"/>
    <w:rsid w:val="00E74D9F"/>
    <w:rsid w:val="00E83E38"/>
    <w:rsid w:val="00E96DE3"/>
    <w:rsid w:val="00EB6750"/>
    <w:rsid w:val="00F13E18"/>
    <w:rsid w:val="00F75C5D"/>
    <w:rsid w:val="00F903CC"/>
    <w:rsid w:val="00FB2462"/>
    <w:rsid w:val="00F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4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51</cp:revision>
  <dcterms:created xsi:type="dcterms:W3CDTF">2019-03-12T10:58:00Z</dcterms:created>
  <dcterms:modified xsi:type="dcterms:W3CDTF">2019-05-27T13:22:00Z</dcterms:modified>
</cp:coreProperties>
</file>