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0"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w:t>
      </w:r>
      <w:r w:rsidR="002E2726" w:rsidRPr="00E25AAD">
        <w:rPr>
          <w:lang w:eastAsia="lv-LV"/>
        </w:rPr>
        <w:t xml:space="preserve"> </w:t>
      </w:r>
      <w:r w:rsidR="00414680" w:rsidRPr="00E25AAD">
        <w:rPr>
          <w:lang w:eastAsia="lv-LV"/>
        </w:rPr>
        <w:t xml:space="preserve">gada </w:t>
      </w:r>
      <w:r w:rsidR="002A1B2B">
        <w:rPr>
          <w:lang w:eastAsia="lv-LV"/>
        </w:rPr>
        <w:t>1</w:t>
      </w:r>
      <w:r w:rsidR="002E2726" w:rsidRPr="00E25AAD">
        <w:rPr>
          <w:lang w:eastAsia="lv-LV"/>
        </w:rPr>
        <w:t>.</w:t>
      </w:r>
      <w:r w:rsidR="00A16147">
        <w:rPr>
          <w:lang w:eastAsia="lv-LV"/>
        </w:rPr>
        <w:t>a</w:t>
      </w:r>
      <w:r w:rsidR="002A1B2B">
        <w:rPr>
          <w:lang w:eastAsia="lv-LV"/>
        </w:rPr>
        <w:t>ugusta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7F676C">
        <w:rPr>
          <w:lang w:eastAsia="lv-LV"/>
        </w:rPr>
        <w:t>2017/14</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6B609F" w:rsidP="00E0412C">
      <w:pPr>
        <w:jc w:val="center"/>
        <w:rPr>
          <w:b/>
          <w:sz w:val="28"/>
          <w:szCs w:val="28"/>
          <w:lang w:eastAsia="lv-LV"/>
        </w:rPr>
      </w:pPr>
      <w:bookmarkStart w:id="6" w:name="_Hlk340771171"/>
      <w:bookmarkStart w:id="7" w:name="_Toc289092133"/>
      <w:bookmarkStart w:id="8" w:name="_Toc289168764"/>
      <w:r>
        <w:rPr>
          <w:b/>
          <w:sz w:val="28"/>
          <w:szCs w:val="28"/>
          <w:lang w:eastAsia="lv-LV"/>
        </w:rPr>
        <w:t>„</w:t>
      </w:r>
      <w:r w:rsidR="007F676C">
        <w:rPr>
          <w:b/>
          <w:sz w:val="28"/>
          <w:szCs w:val="28"/>
          <w:lang w:eastAsia="lv-LV"/>
        </w:rPr>
        <w:t>Aparatūras farmakoloģiskajiem pētījumiem</w:t>
      </w:r>
      <w:r w:rsidR="00B30E61">
        <w:rPr>
          <w:b/>
          <w:sz w:val="28"/>
          <w:szCs w:val="28"/>
          <w:lang w:eastAsia="lv-LV"/>
        </w:rPr>
        <w:t xml:space="preserve"> piegāde</w:t>
      </w:r>
      <w:r w:rsidR="00B22DCA" w:rsidRPr="00A66533">
        <w:rPr>
          <w:b/>
          <w:sz w:val="28"/>
          <w:szCs w:val="28"/>
          <w:lang w:eastAsia="lv-LV"/>
        </w:rPr>
        <w:t xml:space="preserve"> </w:t>
      </w:r>
      <w:bookmarkEnd w:id="6"/>
      <w:r w:rsidR="00BF2A04" w:rsidRPr="00A66533">
        <w:rPr>
          <w:b/>
          <w:sz w:val="28"/>
          <w:szCs w:val="28"/>
          <w:lang w:eastAsia="lv-LV"/>
        </w:rPr>
        <w:t>Latvijas Organiskās sintēzes institūtam</w:t>
      </w:r>
      <w:r w:rsidR="00783C83" w:rsidRPr="00A66533">
        <w:rPr>
          <w:b/>
          <w:sz w:val="28"/>
          <w:szCs w:val="28"/>
          <w:lang w:eastAsia="lv-LV"/>
        </w:rPr>
        <w:t>”</w:t>
      </w:r>
      <w:bookmarkEnd w:id="7"/>
      <w:bookmarkEnd w:id="8"/>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4B4FAF">
        <w:rPr>
          <w:sz w:val="32"/>
          <w:lang w:eastAsia="lv-LV"/>
        </w:rPr>
        <w:t>OSI</w:t>
      </w:r>
      <w:r w:rsidR="006053FD" w:rsidRPr="004B4FAF">
        <w:rPr>
          <w:sz w:val="32"/>
          <w:lang w:eastAsia="lv-LV"/>
        </w:rPr>
        <w:t xml:space="preserve"> </w:t>
      </w:r>
      <w:bookmarkEnd w:id="13"/>
      <w:bookmarkEnd w:id="14"/>
      <w:r w:rsidR="007F676C">
        <w:rPr>
          <w:sz w:val="32"/>
          <w:lang w:eastAsia="lv-LV"/>
        </w:rPr>
        <w:t>2017/14</w:t>
      </w:r>
      <w:r w:rsidR="00B22DCA" w:rsidRPr="004B4FAF">
        <w:rPr>
          <w:sz w:val="32"/>
          <w:lang w:eastAsia="lv-LV"/>
        </w:rPr>
        <w:t xml:space="preserve"> AK</w:t>
      </w:r>
      <w:r w:rsidR="0037048F" w:rsidRPr="004B4FAF">
        <w:rPr>
          <w:sz w:val="32"/>
          <w:lang w:eastAsia="lv-LV"/>
        </w:rPr>
        <w:t xml:space="preserve"> ERAF</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E77BF9" w:rsidRDefault="002C15FB">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89976873" w:history="1">
        <w:r w:rsidR="00E77BF9" w:rsidRPr="00A80850">
          <w:rPr>
            <w:rStyle w:val="Hyperlink"/>
            <w:rFonts w:ascii="Times New Roman" w:hAnsi="Times New Roman"/>
            <w:noProof/>
          </w:rPr>
          <w:t>INSTRUKCIJAS  PRETENDENTIEM</w:t>
        </w:r>
        <w:r w:rsidR="00E77BF9">
          <w:rPr>
            <w:noProof/>
            <w:webHidden/>
          </w:rPr>
          <w:tab/>
        </w:r>
        <w:r>
          <w:rPr>
            <w:noProof/>
            <w:webHidden/>
          </w:rPr>
          <w:fldChar w:fldCharType="begin"/>
        </w:r>
        <w:r w:rsidR="00E77BF9">
          <w:rPr>
            <w:noProof/>
            <w:webHidden/>
          </w:rPr>
          <w:instrText xml:space="preserve"> PAGEREF _Toc489976873 \h </w:instrText>
        </w:r>
        <w:r>
          <w:rPr>
            <w:noProof/>
            <w:webHidden/>
          </w:rPr>
        </w:r>
        <w:r>
          <w:rPr>
            <w:noProof/>
            <w:webHidden/>
          </w:rPr>
          <w:fldChar w:fldCharType="separate"/>
        </w:r>
        <w:r w:rsidR="00E77BF9">
          <w:rPr>
            <w:noProof/>
            <w:webHidden/>
          </w:rPr>
          <w:t>4</w:t>
        </w:r>
        <w:r>
          <w:rPr>
            <w:noProof/>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74" w:history="1">
        <w:r w:rsidR="00E77BF9" w:rsidRPr="00A80850">
          <w:rPr>
            <w:rStyle w:val="Hyperlink"/>
          </w:rPr>
          <w:t>1.</w:t>
        </w:r>
        <w:r w:rsidR="00E77BF9">
          <w:rPr>
            <w:rFonts w:asciiTheme="minorHAnsi" w:eastAsiaTheme="minorEastAsia" w:hAnsiTheme="minorHAnsi" w:cstheme="minorBidi"/>
            <w:b w:val="0"/>
            <w:bCs w:val="0"/>
            <w:sz w:val="22"/>
            <w:szCs w:val="22"/>
            <w:lang w:eastAsia="lv-LV"/>
          </w:rPr>
          <w:tab/>
        </w:r>
        <w:r w:rsidR="00E77BF9" w:rsidRPr="00A80850">
          <w:rPr>
            <w:rStyle w:val="Hyperlink"/>
          </w:rPr>
          <w:t>VISPĀRĪGĀ INFORMĀCIJA</w:t>
        </w:r>
        <w:r w:rsidR="00E77BF9">
          <w:rPr>
            <w:webHidden/>
          </w:rPr>
          <w:tab/>
        </w:r>
        <w:r>
          <w:rPr>
            <w:webHidden/>
          </w:rPr>
          <w:fldChar w:fldCharType="begin"/>
        </w:r>
        <w:r w:rsidR="00E77BF9">
          <w:rPr>
            <w:webHidden/>
          </w:rPr>
          <w:instrText xml:space="preserve"> PAGEREF _Toc489976874 \h </w:instrText>
        </w:r>
        <w:r>
          <w:rPr>
            <w:webHidden/>
          </w:rPr>
        </w:r>
        <w:r>
          <w:rPr>
            <w:webHidden/>
          </w:rPr>
          <w:fldChar w:fldCharType="separate"/>
        </w:r>
        <w:r w:rsidR="00E77BF9">
          <w:rPr>
            <w:webHidden/>
          </w:rPr>
          <w:t>5</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75" w:history="1">
        <w:r w:rsidR="00E77BF9" w:rsidRPr="00A80850">
          <w:rPr>
            <w:rStyle w:val="Hyperlink"/>
            <w:caps/>
          </w:rPr>
          <w:t>2.</w:t>
        </w:r>
        <w:r w:rsidR="00E77BF9">
          <w:rPr>
            <w:rFonts w:asciiTheme="minorHAnsi" w:eastAsiaTheme="minorEastAsia" w:hAnsiTheme="minorHAnsi" w:cstheme="minorBidi"/>
            <w:b w:val="0"/>
            <w:bCs w:val="0"/>
            <w:sz w:val="22"/>
            <w:szCs w:val="22"/>
            <w:lang w:eastAsia="lv-LV"/>
          </w:rPr>
          <w:tab/>
        </w:r>
        <w:r w:rsidR="00E77BF9" w:rsidRPr="00A80850">
          <w:rPr>
            <w:rStyle w:val="Hyperlink"/>
            <w:caps/>
          </w:rPr>
          <w:t>Informācija par iepirkuma priekšmetu un līguma nosacījumiem</w:t>
        </w:r>
        <w:r w:rsidR="00E77BF9">
          <w:rPr>
            <w:webHidden/>
          </w:rPr>
          <w:tab/>
        </w:r>
        <w:r>
          <w:rPr>
            <w:webHidden/>
          </w:rPr>
          <w:fldChar w:fldCharType="begin"/>
        </w:r>
        <w:r w:rsidR="00E77BF9">
          <w:rPr>
            <w:webHidden/>
          </w:rPr>
          <w:instrText xml:space="preserve"> PAGEREF _Toc489976875 \h </w:instrText>
        </w:r>
        <w:r>
          <w:rPr>
            <w:webHidden/>
          </w:rPr>
        </w:r>
        <w:r>
          <w:rPr>
            <w:webHidden/>
          </w:rPr>
          <w:fldChar w:fldCharType="separate"/>
        </w:r>
        <w:r w:rsidR="00E77BF9">
          <w:rPr>
            <w:webHidden/>
          </w:rPr>
          <w:t>8</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76" w:history="1">
        <w:r w:rsidR="00E77BF9" w:rsidRPr="00A80850">
          <w:rPr>
            <w:rStyle w:val="Hyperlink"/>
            <w:caps/>
          </w:rPr>
          <w:t>3.</w:t>
        </w:r>
        <w:r w:rsidR="00E77BF9">
          <w:rPr>
            <w:rFonts w:asciiTheme="minorHAnsi" w:eastAsiaTheme="minorEastAsia" w:hAnsiTheme="minorHAnsi" w:cstheme="minorBidi"/>
            <w:b w:val="0"/>
            <w:bCs w:val="0"/>
            <w:sz w:val="22"/>
            <w:szCs w:val="22"/>
            <w:lang w:eastAsia="lv-LV"/>
          </w:rPr>
          <w:tab/>
        </w:r>
        <w:r w:rsidR="00E77BF9" w:rsidRPr="00A80850">
          <w:rPr>
            <w:rStyle w:val="Hyperlink"/>
            <w:caps/>
          </w:rPr>
          <w:t>Pretendentu izslēgšanas nosacījumi, ATLASES UN KVALIFIKĀCIJAS PRASĪBAS</w:t>
        </w:r>
        <w:r w:rsidR="00E77BF9">
          <w:rPr>
            <w:webHidden/>
          </w:rPr>
          <w:tab/>
        </w:r>
        <w:r>
          <w:rPr>
            <w:webHidden/>
          </w:rPr>
          <w:fldChar w:fldCharType="begin"/>
        </w:r>
        <w:r w:rsidR="00E77BF9">
          <w:rPr>
            <w:webHidden/>
          </w:rPr>
          <w:instrText xml:space="preserve"> PAGEREF _Toc489976876 \h </w:instrText>
        </w:r>
        <w:r>
          <w:rPr>
            <w:webHidden/>
          </w:rPr>
        </w:r>
        <w:r>
          <w:rPr>
            <w:webHidden/>
          </w:rPr>
          <w:fldChar w:fldCharType="separate"/>
        </w:r>
        <w:r w:rsidR="00E77BF9">
          <w:rPr>
            <w:webHidden/>
          </w:rPr>
          <w:t>9</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77" w:history="1">
        <w:r w:rsidR="00E77BF9" w:rsidRPr="00A80850">
          <w:rPr>
            <w:rStyle w:val="Hyperlink"/>
            <w:caps/>
          </w:rPr>
          <w:t>4.</w:t>
        </w:r>
        <w:r w:rsidR="00E77BF9">
          <w:rPr>
            <w:rFonts w:asciiTheme="minorHAnsi" w:eastAsiaTheme="minorEastAsia" w:hAnsiTheme="minorHAnsi" w:cstheme="minorBidi"/>
            <w:b w:val="0"/>
            <w:bCs w:val="0"/>
            <w:sz w:val="22"/>
            <w:szCs w:val="22"/>
            <w:lang w:eastAsia="lv-LV"/>
          </w:rPr>
          <w:tab/>
        </w:r>
        <w:r w:rsidR="00E77BF9" w:rsidRPr="00A80850">
          <w:rPr>
            <w:rStyle w:val="Hyperlink"/>
            <w:caps/>
          </w:rPr>
          <w:t>Iesniedzamie dokumenti</w:t>
        </w:r>
        <w:r w:rsidR="00E77BF9">
          <w:rPr>
            <w:webHidden/>
          </w:rPr>
          <w:tab/>
        </w:r>
        <w:r>
          <w:rPr>
            <w:webHidden/>
          </w:rPr>
          <w:fldChar w:fldCharType="begin"/>
        </w:r>
        <w:r w:rsidR="00E77BF9">
          <w:rPr>
            <w:webHidden/>
          </w:rPr>
          <w:instrText xml:space="preserve"> PAGEREF _Toc489976877 \h </w:instrText>
        </w:r>
        <w:r>
          <w:rPr>
            <w:webHidden/>
          </w:rPr>
        </w:r>
        <w:r>
          <w:rPr>
            <w:webHidden/>
          </w:rPr>
          <w:fldChar w:fldCharType="separate"/>
        </w:r>
        <w:r w:rsidR="00E77BF9">
          <w:rPr>
            <w:webHidden/>
          </w:rPr>
          <w:t>11</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78" w:history="1">
        <w:r w:rsidR="00E77BF9" w:rsidRPr="00A80850">
          <w:rPr>
            <w:rStyle w:val="Hyperlink"/>
            <w:caps/>
          </w:rPr>
          <w:t>5.</w:t>
        </w:r>
        <w:r w:rsidR="00E77BF9">
          <w:rPr>
            <w:rFonts w:asciiTheme="minorHAnsi" w:eastAsiaTheme="minorEastAsia" w:hAnsiTheme="minorHAnsi" w:cstheme="minorBidi"/>
            <w:b w:val="0"/>
            <w:bCs w:val="0"/>
            <w:sz w:val="22"/>
            <w:szCs w:val="22"/>
            <w:lang w:eastAsia="lv-LV"/>
          </w:rPr>
          <w:tab/>
        </w:r>
        <w:r w:rsidR="00E77BF9" w:rsidRPr="00A80850">
          <w:rPr>
            <w:rStyle w:val="Hyperlink"/>
            <w:caps/>
          </w:rPr>
          <w:t>Piedāvājuma vērtēšanas un izvēles kritēriji</w:t>
        </w:r>
        <w:r w:rsidR="00E77BF9">
          <w:rPr>
            <w:webHidden/>
          </w:rPr>
          <w:tab/>
        </w:r>
        <w:r>
          <w:rPr>
            <w:webHidden/>
          </w:rPr>
          <w:fldChar w:fldCharType="begin"/>
        </w:r>
        <w:r w:rsidR="00E77BF9">
          <w:rPr>
            <w:webHidden/>
          </w:rPr>
          <w:instrText xml:space="preserve"> PAGEREF _Toc489976878 \h </w:instrText>
        </w:r>
        <w:r>
          <w:rPr>
            <w:webHidden/>
          </w:rPr>
        </w:r>
        <w:r>
          <w:rPr>
            <w:webHidden/>
          </w:rPr>
          <w:fldChar w:fldCharType="separate"/>
        </w:r>
        <w:r w:rsidR="00E77BF9">
          <w:rPr>
            <w:webHidden/>
          </w:rPr>
          <w:t>14</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79" w:history="1">
        <w:r w:rsidR="00E77BF9" w:rsidRPr="00A80850">
          <w:rPr>
            <w:rStyle w:val="Hyperlink"/>
            <w:caps/>
          </w:rPr>
          <w:t>6.</w:t>
        </w:r>
        <w:r w:rsidR="00E77BF9">
          <w:rPr>
            <w:rFonts w:asciiTheme="minorHAnsi" w:eastAsiaTheme="minorEastAsia" w:hAnsiTheme="minorHAnsi" w:cstheme="minorBidi"/>
            <w:b w:val="0"/>
            <w:bCs w:val="0"/>
            <w:sz w:val="22"/>
            <w:szCs w:val="22"/>
            <w:lang w:eastAsia="lv-LV"/>
          </w:rPr>
          <w:tab/>
        </w:r>
        <w:r w:rsidR="00E77BF9" w:rsidRPr="00A80850">
          <w:rPr>
            <w:rStyle w:val="Hyperlink"/>
            <w:caps/>
          </w:rPr>
          <w:t>Iepirkuma līgums</w:t>
        </w:r>
        <w:r w:rsidR="00E77BF9">
          <w:rPr>
            <w:webHidden/>
          </w:rPr>
          <w:tab/>
        </w:r>
        <w:r>
          <w:rPr>
            <w:webHidden/>
          </w:rPr>
          <w:fldChar w:fldCharType="begin"/>
        </w:r>
        <w:r w:rsidR="00E77BF9">
          <w:rPr>
            <w:webHidden/>
          </w:rPr>
          <w:instrText xml:space="preserve"> PAGEREF _Toc489976879 \h </w:instrText>
        </w:r>
        <w:r>
          <w:rPr>
            <w:webHidden/>
          </w:rPr>
        </w:r>
        <w:r>
          <w:rPr>
            <w:webHidden/>
          </w:rPr>
          <w:fldChar w:fldCharType="separate"/>
        </w:r>
        <w:r w:rsidR="00E77BF9">
          <w:rPr>
            <w:webHidden/>
          </w:rPr>
          <w:t>15</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80" w:history="1">
        <w:r w:rsidR="00E77BF9" w:rsidRPr="00A80850">
          <w:rPr>
            <w:rStyle w:val="Hyperlink"/>
            <w:caps/>
          </w:rPr>
          <w:t>7.</w:t>
        </w:r>
        <w:r w:rsidR="00E77BF9">
          <w:rPr>
            <w:rFonts w:asciiTheme="minorHAnsi" w:eastAsiaTheme="minorEastAsia" w:hAnsiTheme="minorHAnsi" w:cstheme="minorBidi"/>
            <w:b w:val="0"/>
            <w:bCs w:val="0"/>
            <w:sz w:val="22"/>
            <w:szCs w:val="22"/>
            <w:lang w:eastAsia="lv-LV"/>
          </w:rPr>
          <w:tab/>
        </w:r>
        <w:r w:rsidR="00E77BF9" w:rsidRPr="00A80850">
          <w:rPr>
            <w:rStyle w:val="Hyperlink"/>
            <w:caps/>
          </w:rPr>
          <w:t>Iepirkuma komisijas tiesības un pienākumi</w:t>
        </w:r>
        <w:r w:rsidR="00E77BF9">
          <w:rPr>
            <w:webHidden/>
          </w:rPr>
          <w:tab/>
        </w:r>
        <w:r>
          <w:rPr>
            <w:webHidden/>
          </w:rPr>
          <w:fldChar w:fldCharType="begin"/>
        </w:r>
        <w:r w:rsidR="00E77BF9">
          <w:rPr>
            <w:webHidden/>
          </w:rPr>
          <w:instrText xml:space="preserve"> PAGEREF _Toc489976880 \h </w:instrText>
        </w:r>
        <w:r>
          <w:rPr>
            <w:webHidden/>
          </w:rPr>
        </w:r>
        <w:r>
          <w:rPr>
            <w:webHidden/>
          </w:rPr>
          <w:fldChar w:fldCharType="separate"/>
        </w:r>
        <w:r w:rsidR="00E77BF9">
          <w:rPr>
            <w:webHidden/>
          </w:rPr>
          <w:t>16</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81" w:history="1">
        <w:r w:rsidR="00E77BF9" w:rsidRPr="00A80850">
          <w:rPr>
            <w:rStyle w:val="Hyperlink"/>
            <w:caps/>
          </w:rPr>
          <w:t>8.</w:t>
        </w:r>
        <w:r w:rsidR="00E77BF9">
          <w:rPr>
            <w:rFonts w:asciiTheme="minorHAnsi" w:eastAsiaTheme="minorEastAsia" w:hAnsiTheme="minorHAnsi" w:cstheme="minorBidi"/>
            <w:b w:val="0"/>
            <w:bCs w:val="0"/>
            <w:sz w:val="22"/>
            <w:szCs w:val="22"/>
            <w:lang w:eastAsia="lv-LV"/>
          </w:rPr>
          <w:tab/>
        </w:r>
        <w:r w:rsidR="00E77BF9" w:rsidRPr="00A80850">
          <w:rPr>
            <w:rStyle w:val="Hyperlink"/>
            <w:caps/>
          </w:rPr>
          <w:t>Pretendenta tiesības un pienākumi</w:t>
        </w:r>
        <w:r w:rsidR="00E77BF9">
          <w:rPr>
            <w:webHidden/>
          </w:rPr>
          <w:tab/>
        </w:r>
        <w:r>
          <w:rPr>
            <w:webHidden/>
          </w:rPr>
          <w:fldChar w:fldCharType="begin"/>
        </w:r>
        <w:r w:rsidR="00E77BF9">
          <w:rPr>
            <w:webHidden/>
          </w:rPr>
          <w:instrText xml:space="preserve"> PAGEREF _Toc489976881 \h </w:instrText>
        </w:r>
        <w:r>
          <w:rPr>
            <w:webHidden/>
          </w:rPr>
        </w:r>
        <w:r>
          <w:rPr>
            <w:webHidden/>
          </w:rPr>
          <w:fldChar w:fldCharType="separate"/>
        </w:r>
        <w:r w:rsidR="00E77BF9">
          <w:rPr>
            <w:webHidden/>
          </w:rPr>
          <w:t>17</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82" w:history="1">
        <w:r w:rsidR="00E77BF9" w:rsidRPr="00A80850">
          <w:rPr>
            <w:rStyle w:val="Hyperlink"/>
            <w:caps/>
          </w:rPr>
          <w:t>9.</w:t>
        </w:r>
        <w:r w:rsidR="00E77BF9">
          <w:rPr>
            <w:rFonts w:asciiTheme="minorHAnsi" w:eastAsiaTheme="minorEastAsia" w:hAnsiTheme="minorHAnsi" w:cstheme="minorBidi"/>
            <w:b w:val="0"/>
            <w:bCs w:val="0"/>
            <w:sz w:val="22"/>
            <w:szCs w:val="22"/>
            <w:lang w:eastAsia="lv-LV"/>
          </w:rPr>
          <w:tab/>
        </w:r>
        <w:r w:rsidR="00E77BF9" w:rsidRPr="00A80850">
          <w:rPr>
            <w:rStyle w:val="Hyperlink"/>
            <w:caps/>
          </w:rPr>
          <w:t>Apakšuzņēmēji un to veicamo darbu apjoms</w:t>
        </w:r>
        <w:r w:rsidR="00E77BF9">
          <w:rPr>
            <w:webHidden/>
          </w:rPr>
          <w:tab/>
        </w:r>
        <w:r>
          <w:rPr>
            <w:webHidden/>
          </w:rPr>
          <w:fldChar w:fldCharType="begin"/>
        </w:r>
        <w:r w:rsidR="00E77BF9">
          <w:rPr>
            <w:webHidden/>
          </w:rPr>
          <w:instrText xml:space="preserve"> PAGEREF _Toc489976882 \h </w:instrText>
        </w:r>
        <w:r>
          <w:rPr>
            <w:webHidden/>
          </w:rPr>
        </w:r>
        <w:r>
          <w:rPr>
            <w:webHidden/>
          </w:rPr>
          <w:fldChar w:fldCharType="separate"/>
        </w:r>
        <w:r w:rsidR="00E77BF9">
          <w:rPr>
            <w:webHidden/>
          </w:rPr>
          <w:t>18</w:t>
        </w:r>
        <w:r>
          <w:rPr>
            <w:webHidden/>
          </w:rPr>
          <w:fldChar w:fldCharType="end"/>
        </w:r>
      </w:hyperlink>
    </w:p>
    <w:p w:rsidR="00E77BF9" w:rsidRDefault="002C15FB">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9976883" w:history="1">
        <w:r w:rsidR="00E77BF9" w:rsidRPr="00A80850">
          <w:rPr>
            <w:rStyle w:val="Hyperlink"/>
            <w:rFonts w:ascii="Times New Roman" w:hAnsi="Times New Roman"/>
            <w:noProof/>
          </w:rPr>
          <w:t>TEHNISKĀS  SPECIFIKĀCIJAS</w:t>
        </w:r>
        <w:r w:rsidR="00E77BF9">
          <w:rPr>
            <w:noProof/>
            <w:webHidden/>
          </w:rPr>
          <w:tab/>
        </w:r>
        <w:r>
          <w:rPr>
            <w:noProof/>
            <w:webHidden/>
          </w:rPr>
          <w:fldChar w:fldCharType="begin"/>
        </w:r>
        <w:r w:rsidR="00E77BF9">
          <w:rPr>
            <w:noProof/>
            <w:webHidden/>
          </w:rPr>
          <w:instrText xml:space="preserve"> PAGEREF _Toc489976883 \h </w:instrText>
        </w:r>
        <w:r>
          <w:rPr>
            <w:noProof/>
            <w:webHidden/>
          </w:rPr>
        </w:r>
        <w:r>
          <w:rPr>
            <w:noProof/>
            <w:webHidden/>
          </w:rPr>
          <w:fldChar w:fldCharType="separate"/>
        </w:r>
        <w:r w:rsidR="00E77BF9">
          <w:rPr>
            <w:noProof/>
            <w:webHidden/>
          </w:rPr>
          <w:t>20</w:t>
        </w:r>
        <w:r>
          <w:rPr>
            <w:noProof/>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84" w:history="1">
        <w:r w:rsidR="00E77BF9" w:rsidRPr="00A80850">
          <w:rPr>
            <w:rStyle w:val="Hyperlink"/>
          </w:rPr>
          <w:t>VISPĀRĒJA INFORMĀCIJA</w:t>
        </w:r>
        <w:r w:rsidR="00E77BF9">
          <w:rPr>
            <w:webHidden/>
          </w:rPr>
          <w:tab/>
        </w:r>
        <w:r>
          <w:rPr>
            <w:webHidden/>
          </w:rPr>
          <w:fldChar w:fldCharType="begin"/>
        </w:r>
        <w:r w:rsidR="00E77BF9">
          <w:rPr>
            <w:webHidden/>
          </w:rPr>
          <w:instrText xml:space="preserve"> PAGEREF _Toc489976884 \h </w:instrText>
        </w:r>
        <w:r>
          <w:rPr>
            <w:webHidden/>
          </w:rPr>
        </w:r>
        <w:r>
          <w:rPr>
            <w:webHidden/>
          </w:rPr>
          <w:fldChar w:fldCharType="separate"/>
        </w:r>
        <w:r w:rsidR="00E77BF9">
          <w:rPr>
            <w:webHidden/>
          </w:rPr>
          <w:t>21</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85" w:history="1">
        <w:r w:rsidR="00E77BF9" w:rsidRPr="00A80850">
          <w:rPr>
            <w:rStyle w:val="Hyperlink"/>
          </w:rPr>
          <w:t>TEHNISKĀS SPECIFIKĀCIJAS</w:t>
        </w:r>
        <w:r w:rsidR="00E77BF9">
          <w:rPr>
            <w:webHidden/>
          </w:rPr>
          <w:tab/>
        </w:r>
        <w:r>
          <w:rPr>
            <w:webHidden/>
          </w:rPr>
          <w:fldChar w:fldCharType="begin"/>
        </w:r>
        <w:r w:rsidR="00E77BF9">
          <w:rPr>
            <w:webHidden/>
          </w:rPr>
          <w:instrText xml:space="preserve"> PAGEREF _Toc489976885 \h </w:instrText>
        </w:r>
        <w:r>
          <w:rPr>
            <w:webHidden/>
          </w:rPr>
        </w:r>
        <w:r>
          <w:rPr>
            <w:webHidden/>
          </w:rPr>
          <w:fldChar w:fldCharType="separate"/>
        </w:r>
        <w:r w:rsidR="00E77BF9">
          <w:rPr>
            <w:webHidden/>
          </w:rPr>
          <w:t>22</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86" w:history="1">
        <w:r w:rsidR="00E77BF9" w:rsidRPr="00A80850">
          <w:rPr>
            <w:rStyle w:val="Hyperlink"/>
            <w:highlight w:val="yellow"/>
          </w:rPr>
          <w:t>1.</w:t>
        </w:r>
        <w:r w:rsidR="00E77BF9">
          <w:rPr>
            <w:rFonts w:asciiTheme="minorHAnsi" w:eastAsiaTheme="minorEastAsia" w:hAnsiTheme="minorHAnsi" w:cstheme="minorBidi"/>
            <w:b w:val="0"/>
            <w:bCs w:val="0"/>
            <w:sz w:val="22"/>
            <w:szCs w:val="22"/>
            <w:lang w:eastAsia="lv-LV"/>
          </w:rPr>
          <w:tab/>
        </w:r>
        <w:r w:rsidR="00E77BF9" w:rsidRPr="00A80850">
          <w:rPr>
            <w:rStyle w:val="Hyperlink"/>
            <w:highlight w:val="yellow"/>
          </w:rPr>
          <w:t>Lote</w:t>
        </w:r>
        <w:r w:rsidR="00E77BF9">
          <w:rPr>
            <w:rStyle w:val="Hyperlink"/>
          </w:rPr>
          <w:t xml:space="preserve">. </w:t>
        </w:r>
        <w:r w:rsidR="00E77BF9" w:rsidRPr="00E77BF9">
          <w:rPr>
            <w:rStyle w:val="Hyperlink"/>
          </w:rPr>
          <w:t>Plūsmas citometrs un šķirotājs</w:t>
        </w:r>
        <w:r w:rsidR="00E77BF9">
          <w:rPr>
            <w:webHidden/>
          </w:rPr>
          <w:tab/>
        </w:r>
        <w:r>
          <w:rPr>
            <w:webHidden/>
          </w:rPr>
          <w:fldChar w:fldCharType="begin"/>
        </w:r>
        <w:r w:rsidR="00E77BF9">
          <w:rPr>
            <w:webHidden/>
          </w:rPr>
          <w:instrText xml:space="preserve"> PAGEREF _Toc489976886 \h </w:instrText>
        </w:r>
        <w:r>
          <w:rPr>
            <w:webHidden/>
          </w:rPr>
        </w:r>
        <w:r>
          <w:rPr>
            <w:webHidden/>
          </w:rPr>
          <w:fldChar w:fldCharType="separate"/>
        </w:r>
        <w:r w:rsidR="00E77BF9">
          <w:rPr>
            <w:webHidden/>
          </w:rPr>
          <w:t>22</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88" w:history="1">
        <w:r w:rsidR="00E77BF9" w:rsidRPr="00A80850">
          <w:rPr>
            <w:rStyle w:val="Hyperlink"/>
            <w:highlight w:val="yellow"/>
          </w:rPr>
          <w:t>2.</w:t>
        </w:r>
        <w:r w:rsidR="00E77BF9">
          <w:rPr>
            <w:rFonts w:asciiTheme="minorHAnsi" w:eastAsiaTheme="minorEastAsia" w:hAnsiTheme="minorHAnsi" w:cstheme="minorBidi"/>
            <w:b w:val="0"/>
            <w:bCs w:val="0"/>
            <w:sz w:val="22"/>
            <w:szCs w:val="22"/>
            <w:lang w:eastAsia="lv-LV"/>
          </w:rPr>
          <w:tab/>
        </w:r>
        <w:r w:rsidR="00E77BF9" w:rsidRPr="00A80850">
          <w:rPr>
            <w:rStyle w:val="Hyperlink"/>
            <w:highlight w:val="yellow"/>
          </w:rPr>
          <w:t>Lote</w:t>
        </w:r>
        <w:r w:rsidR="00E77BF9">
          <w:rPr>
            <w:rStyle w:val="Hyperlink"/>
          </w:rPr>
          <w:t xml:space="preserve">. </w:t>
        </w:r>
        <w:r w:rsidR="00E77BF9" w:rsidRPr="00E77BF9">
          <w:rPr>
            <w:rStyle w:val="Hyperlink"/>
          </w:rPr>
          <w:t>Aparatūra darbam ar šūnu kultūrām hipoksijas apstākļos</w:t>
        </w:r>
        <w:r w:rsidR="00E77BF9">
          <w:rPr>
            <w:webHidden/>
          </w:rPr>
          <w:tab/>
        </w:r>
        <w:r>
          <w:rPr>
            <w:webHidden/>
          </w:rPr>
          <w:fldChar w:fldCharType="begin"/>
        </w:r>
        <w:r w:rsidR="00E77BF9">
          <w:rPr>
            <w:webHidden/>
          </w:rPr>
          <w:instrText xml:space="preserve"> PAGEREF _Toc489976888 \h </w:instrText>
        </w:r>
        <w:r>
          <w:rPr>
            <w:webHidden/>
          </w:rPr>
        </w:r>
        <w:r>
          <w:rPr>
            <w:webHidden/>
          </w:rPr>
          <w:fldChar w:fldCharType="separate"/>
        </w:r>
        <w:r w:rsidR="00E77BF9">
          <w:rPr>
            <w:webHidden/>
          </w:rPr>
          <w:t>25</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90" w:history="1">
        <w:r w:rsidR="00E77BF9" w:rsidRPr="00A80850">
          <w:rPr>
            <w:rStyle w:val="Hyperlink"/>
            <w:highlight w:val="yellow"/>
          </w:rPr>
          <w:t>3.</w:t>
        </w:r>
        <w:r w:rsidR="00E77BF9">
          <w:rPr>
            <w:rFonts w:asciiTheme="minorHAnsi" w:eastAsiaTheme="minorEastAsia" w:hAnsiTheme="minorHAnsi" w:cstheme="minorBidi"/>
            <w:b w:val="0"/>
            <w:bCs w:val="0"/>
            <w:sz w:val="22"/>
            <w:szCs w:val="22"/>
            <w:lang w:eastAsia="lv-LV"/>
          </w:rPr>
          <w:tab/>
        </w:r>
        <w:r w:rsidR="00E77BF9" w:rsidRPr="00A80850">
          <w:rPr>
            <w:rStyle w:val="Hyperlink"/>
            <w:highlight w:val="yellow"/>
          </w:rPr>
          <w:t>Lote</w:t>
        </w:r>
        <w:r w:rsidR="00E77BF9">
          <w:rPr>
            <w:rStyle w:val="Hyperlink"/>
          </w:rPr>
          <w:t xml:space="preserve">. </w:t>
        </w:r>
        <w:r w:rsidR="00E77BF9" w:rsidRPr="00E77BF9">
          <w:rPr>
            <w:rStyle w:val="Hyperlink"/>
          </w:rPr>
          <w:t>Histoloģijas un imunohistoloģijas un audu automātiskās apstrādes aparatūra</w:t>
        </w:r>
        <w:r w:rsidR="00E77BF9">
          <w:rPr>
            <w:webHidden/>
          </w:rPr>
          <w:tab/>
        </w:r>
        <w:r>
          <w:rPr>
            <w:webHidden/>
          </w:rPr>
          <w:fldChar w:fldCharType="begin"/>
        </w:r>
        <w:r w:rsidR="00E77BF9">
          <w:rPr>
            <w:webHidden/>
          </w:rPr>
          <w:instrText xml:space="preserve"> PAGEREF _Toc489976890 \h </w:instrText>
        </w:r>
        <w:r>
          <w:rPr>
            <w:webHidden/>
          </w:rPr>
        </w:r>
        <w:r>
          <w:rPr>
            <w:webHidden/>
          </w:rPr>
          <w:fldChar w:fldCharType="separate"/>
        </w:r>
        <w:r w:rsidR="00E77BF9">
          <w:rPr>
            <w:webHidden/>
          </w:rPr>
          <w:t>27</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92" w:history="1">
        <w:r w:rsidR="00E77BF9" w:rsidRPr="00A80850">
          <w:rPr>
            <w:rStyle w:val="Hyperlink"/>
            <w:highlight w:val="yellow"/>
          </w:rPr>
          <w:t>4.</w:t>
        </w:r>
        <w:r w:rsidR="00E77BF9">
          <w:rPr>
            <w:rFonts w:asciiTheme="minorHAnsi" w:eastAsiaTheme="minorEastAsia" w:hAnsiTheme="minorHAnsi" w:cstheme="minorBidi"/>
            <w:b w:val="0"/>
            <w:bCs w:val="0"/>
            <w:sz w:val="22"/>
            <w:szCs w:val="22"/>
            <w:lang w:eastAsia="lv-LV"/>
          </w:rPr>
          <w:tab/>
        </w:r>
        <w:r w:rsidR="00E77BF9" w:rsidRPr="00A80850">
          <w:rPr>
            <w:rStyle w:val="Hyperlink"/>
            <w:highlight w:val="yellow"/>
          </w:rPr>
          <w:t>Lote</w:t>
        </w:r>
        <w:r w:rsidR="00E77BF9">
          <w:rPr>
            <w:rStyle w:val="Hyperlink"/>
          </w:rPr>
          <w:t xml:space="preserve">. </w:t>
        </w:r>
        <w:r w:rsidR="00E77BF9" w:rsidRPr="00E77BF9">
          <w:rPr>
            <w:rStyle w:val="Hyperlink"/>
          </w:rPr>
          <w:t>Reālā laika PCR sistēma</w:t>
        </w:r>
        <w:r w:rsidR="00E77BF9">
          <w:rPr>
            <w:webHidden/>
          </w:rPr>
          <w:tab/>
        </w:r>
        <w:r>
          <w:rPr>
            <w:webHidden/>
          </w:rPr>
          <w:fldChar w:fldCharType="begin"/>
        </w:r>
        <w:r w:rsidR="00E77BF9">
          <w:rPr>
            <w:webHidden/>
          </w:rPr>
          <w:instrText xml:space="preserve"> PAGEREF _Toc489976892 \h </w:instrText>
        </w:r>
        <w:r>
          <w:rPr>
            <w:webHidden/>
          </w:rPr>
        </w:r>
        <w:r>
          <w:rPr>
            <w:webHidden/>
          </w:rPr>
          <w:fldChar w:fldCharType="separate"/>
        </w:r>
        <w:r w:rsidR="00E77BF9">
          <w:rPr>
            <w:webHidden/>
          </w:rPr>
          <w:t>30</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94" w:history="1">
        <w:r w:rsidR="00E77BF9" w:rsidRPr="00A80850">
          <w:rPr>
            <w:rStyle w:val="Hyperlink"/>
          </w:rPr>
          <w:t>Papildus nosacījumi:</w:t>
        </w:r>
        <w:r w:rsidR="00E77BF9">
          <w:rPr>
            <w:webHidden/>
          </w:rPr>
          <w:tab/>
        </w:r>
        <w:r>
          <w:rPr>
            <w:webHidden/>
          </w:rPr>
          <w:fldChar w:fldCharType="begin"/>
        </w:r>
        <w:r w:rsidR="00E77BF9">
          <w:rPr>
            <w:webHidden/>
          </w:rPr>
          <w:instrText xml:space="preserve"> PAGEREF _Toc489976894 \h </w:instrText>
        </w:r>
        <w:r>
          <w:rPr>
            <w:webHidden/>
          </w:rPr>
        </w:r>
        <w:r>
          <w:rPr>
            <w:webHidden/>
          </w:rPr>
          <w:fldChar w:fldCharType="separate"/>
        </w:r>
        <w:r w:rsidR="00E77BF9">
          <w:rPr>
            <w:webHidden/>
          </w:rPr>
          <w:t>32</w:t>
        </w:r>
        <w:r>
          <w:rPr>
            <w:webHidden/>
          </w:rPr>
          <w:fldChar w:fldCharType="end"/>
        </w:r>
      </w:hyperlink>
    </w:p>
    <w:p w:rsidR="00E77BF9" w:rsidRDefault="002C15FB">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9976895" w:history="1">
        <w:r w:rsidR="00E77BF9" w:rsidRPr="00A80850">
          <w:rPr>
            <w:rStyle w:val="Hyperlink"/>
            <w:rFonts w:ascii="Times New Roman" w:hAnsi="Times New Roman"/>
            <w:noProof/>
          </w:rPr>
          <w:t>Iepirkuma LĪGUMA  PROJEKTS</w:t>
        </w:r>
        <w:r w:rsidR="00E77BF9">
          <w:rPr>
            <w:noProof/>
            <w:webHidden/>
          </w:rPr>
          <w:tab/>
        </w:r>
        <w:r>
          <w:rPr>
            <w:noProof/>
            <w:webHidden/>
          </w:rPr>
          <w:fldChar w:fldCharType="begin"/>
        </w:r>
        <w:r w:rsidR="00E77BF9">
          <w:rPr>
            <w:noProof/>
            <w:webHidden/>
          </w:rPr>
          <w:instrText xml:space="preserve"> PAGEREF _Toc489976895 \h </w:instrText>
        </w:r>
        <w:r>
          <w:rPr>
            <w:noProof/>
            <w:webHidden/>
          </w:rPr>
        </w:r>
        <w:r>
          <w:rPr>
            <w:noProof/>
            <w:webHidden/>
          </w:rPr>
          <w:fldChar w:fldCharType="separate"/>
        </w:r>
        <w:r w:rsidR="00E77BF9">
          <w:rPr>
            <w:noProof/>
            <w:webHidden/>
          </w:rPr>
          <w:t>33</w:t>
        </w:r>
        <w:r>
          <w:rPr>
            <w:noProof/>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96" w:history="1">
        <w:r w:rsidR="00E77BF9" w:rsidRPr="00A80850">
          <w:rPr>
            <w:rStyle w:val="Hyperlink"/>
          </w:rPr>
          <w:t>LĪGUMA SPECIĀLIE NOTEIKUMI</w:t>
        </w:r>
        <w:r w:rsidR="00E77BF9">
          <w:rPr>
            <w:webHidden/>
          </w:rPr>
          <w:tab/>
        </w:r>
        <w:r>
          <w:rPr>
            <w:webHidden/>
          </w:rPr>
          <w:fldChar w:fldCharType="begin"/>
        </w:r>
        <w:r w:rsidR="00E77BF9">
          <w:rPr>
            <w:webHidden/>
          </w:rPr>
          <w:instrText xml:space="preserve"> PAGEREF _Toc489976896 \h </w:instrText>
        </w:r>
        <w:r>
          <w:rPr>
            <w:webHidden/>
          </w:rPr>
        </w:r>
        <w:r>
          <w:rPr>
            <w:webHidden/>
          </w:rPr>
          <w:fldChar w:fldCharType="separate"/>
        </w:r>
        <w:r w:rsidR="00E77BF9">
          <w:rPr>
            <w:webHidden/>
          </w:rPr>
          <w:t>34</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97" w:history="1">
        <w:r w:rsidR="00E77BF9" w:rsidRPr="00A80850">
          <w:rPr>
            <w:rStyle w:val="Hyperlink"/>
          </w:rPr>
          <w:t>LĪGUMA VISPĀRĪGIE NOTEIKUMI</w:t>
        </w:r>
        <w:r w:rsidR="00E77BF9">
          <w:rPr>
            <w:webHidden/>
          </w:rPr>
          <w:tab/>
        </w:r>
        <w:r>
          <w:rPr>
            <w:webHidden/>
          </w:rPr>
          <w:fldChar w:fldCharType="begin"/>
        </w:r>
        <w:r w:rsidR="00E77BF9">
          <w:rPr>
            <w:webHidden/>
          </w:rPr>
          <w:instrText xml:space="preserve"> PAGEREF _Toc489976897 \h </w:instrText>
        </w:r>
        <w:r>
          <w:rPr>
            <w:webHidden/>
          </w:rPr>
        </w:r>
        <w:r>
          <w:rPr>
            <w:webHidden/>
          </w:rPr>
          <w:fldChar w:fldCharType="separate"/>
        </w:r>
        <w:r w:rsidR="00E77BF9">
          <w:rPr>
            <w:webHidden/>
          </w:rPr>
          <w:t>37</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98" w:history="1">
        <w:r w:rsidR="00E77BF9" w:rsidRPr="00A80850">
          <w:rPr>
            <w:rStyle w:val="Hyperlink"/>
            <w:iCs/>
            <w:lang w:eastAsia="lv-LV"/>
          </w:rPr>
          <w:t>Pielikums Nr. 1</w:t>
        </w:r>
        <w:r w:rsidR="00E77BF9">
          <w:rPr>
            <w:webHidden/>
          </w:rPr>
          <w:tab/>
        </w:r>
        <w:r>
          <w:rPr>
            <w:webHidden/>
          </w:rPr>
          <w:fldChar w:fldCharType="begin"/>
        </w:r>
        <w:r w:rsidR="00E77BF9">
          <w:rPr>
            <w:webHidden/>
          </w:rPr>
          <w:instrText xml:space="preserve"> PAGEREF _Toc489976898 \h </w:instrText>
        </w:r>
        <w:r>
          <w:rPr>
            <w:webHidden/>
          </w:rPr>
        </w:r>
        <w:r>
          <w:rPr>
            <w:webHidden/>
          </w:rPr>
          <w:fldChar w:fldCharType="separate"/>
        </w:r>
        <w:r w:rsidR="00E77BF9">
          <w:rPr>
            <w:webHidden/>
          </w:rPr>
          <w:t>44</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899" w:history="1">
        <w:r w:rsidR="00E77BF9" w:rsidRPr="00A80850">
          <w:rPr>
            <w:rStyle w:val="Hyperlink"/>
            <w:iCs/>
            <w:lang w:eastAsia="lv-LV"/>
          </w:rPr>
          <w:t>Pielikums Nr. 2</w:t>
        </w:r>
        <w:r w:rsidR="00E77BF9">
          <w:rPr>
            <w:webHidden/>
          </w:rPr>
          <w:tab/>
        </w:r>
        <w:r>
          <w:rPr>
            <w:webHidden/>
          </w:rPr>
          <w:fldChar w:fldCharType="begin"/>
        </w:r>
        <w:r w:rsidR="00E77BF9">
          <w:rPr>
            <w:webHidden/>
          </w:rPr>
          <w:instrText xml:space="preserve"> PAGEREF _Toc489976899 \h </w:instrText>
        </w:r>
        <w:r>
          <w:rPr>
            <w:webHidden/>
          </w:rPr>
        </w:r>
        <w:r>
          <w:rPr>
            <w:webHidden/>
          </w:rPr>
          <w:fldChar w:fldCharType="separate"/>
        </w:r>
        <w:r w:rsidR="00E77BF9">
          <w:rPr>
            <w:webHidden/>
          </w:rPr>
          <w:t>45</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900" w:history="1">
        <w:r w:rsidR="00E77BF9" w:rsidRPr="00A80850">
          <w:rPr>
            <w:rStyle w:val="Hyperlink"/>
            <w:iCs/>
            <w:lang w:eastAsia="lv-LV"/>
          </w:rPr>
          <w:t>Pielikums Nr. 3</w:t>
        </w:r>
        <w:r w:rsidR="00E77BF9">
          <w:rPr>
            <w:webHidden/>
          </w:rPr>
          <w:tab/>
        </w:r>
        <w:r>
          <w:rPr>
            <w:webHidden/>
          </w:rPr>
          <w:fldChar w:fldCharType="begin"/>
        </w:r>
        <w:r w:rsidR="00E77BF9">
          <w:rPr>
            <w:webHidden/>
          </w:rPr>
          <w:instrText xml:space="preserve"> PAGEREF _Toc489976900 \h </w:instrText>
        </w:r>
        <w:r>
          <w:rPr>
            <w:webHidden/>
          </w:rPr>
        </w:r>
        <w:r>
          <w:rPr>
            <w:webHidden/>
          </w:rPr>
          <w:fldChar w:fldCharType="separate"/>
        </w:r>
        <w:r w:rsidR="00E77BF9">
          <w:rPr>
            <w:webHidden/>
          </w:rPr>
          <w:t>46</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901" w:history="1">
        <w:r w:rsidR="00E77BF9" w:rsidRPr="00A80850">
          <w:rPr>
            <w:rStyle w:val="Hyperlink"/>
            <w:iCs/>
            <w:lang w:eastAsia="lv-LV"/>
          </w:rPr>
          <w:t>Pielikums Nr. 4</w:t>
        </w:r>
        <w:r w:rsidR="00E77BF9">
          <w:rPr>
            <w:webHidden/>
          </w:rPr>
          <w:tab/>
        </w:r>
        <w:r>
          <w:rPr>
            <w:webHidden/>
          </w:rPr>
          <w:fldChar w:fldCharType="begin"/>
        </w:r>
        <w:r w:rsidR="00E77BF9">
          <w:rPr>
            <w:webHidden/>
          </w:rPr>
          <w:instrText xml:space="preserve"> PAGEREF _Toc489976901 \h </w:instrText>
        </w:r>
        <w:r>
          <w:rPr>
            <w:webHidden/>
          </w:rPr>
        </w:r>
        <w:r>
          <w:rPr>
            <w:webHidden/>
          </w:rPr>
          <w:fldChar w:fldCharType="separate"/>
        </w:r>
        <w:r w:rsidR="00E77BF9">
          <w:rPr>
            <w:webHidden/>
          </w:rPr>
          <w:t>47</w:t>
        </w:r>
        <w:r>
          <w:rPr>
            <w:webHidden/>
          </w:rPr>
          <w:fldChar w:fldCharType="end"/>
        </w:r>
      </w:hyperlink>
    </w:p>
    <w:p w:rsidR="00E77BF9" w:rsidRDefault="002C15FB">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9976902" w:history="1">
        <w:r w:rsidR="00E77BF9" w:rsidRPr="00A80850">
          <w:rPr>
            <w:rStyle w:val="Hyperlink"/>
            <w:rFonts w:ascii="Times New Roman" w:hAnsi="Times New Roman"/>
            <w:noProof/>
          </w:rPr>
          <w:t>FORMAS PIEDĀVĀJUMA SAGATAVOŠANAI</w:t>
        </w:r>
        <w:r w:rsidR="00E77BF9">
          <w:rPr>
            <w:noProof/>
            <w:webHidden/>
          </w:rPr>
          <w:tab/>
        </w:r>
        <w:r>
          <w:rPr>
            <w:noProof/>
            <w:webHidden/>
          </w:rPr>
          <w:fldChar w:fldCharType="begin"/>
        </w:r>
        <w:r w:rsidR="00E77BF9">
          <w:rPr>
            <w:noProof/>
            <w:webHidden/>
          </w:rPr>
          <w:instrText xml:space="preserve"> PAGEREF _Toc489976902 \h </w:instrText>
        </w:r>
        <w:r>
          <w:rPr>
            <w:noProof/>
            <w:webHidden/>
          </w:rPr>
        </w:r>
        <w:r>
          <w:rPr>
            <w:noProof/>
            <w:webHidden/>
          </w:rPr>
          <w:fldChar w:fldCharType="separate"/>
        </w:r>
        <w:r w:rsidR="00E77BF9">
          <w:rPr>
            <w:noProof/>
            <w:webHidden/>
          </w:rPr>
          <w:t>48</w:t>
        </w:r>
        <w:r>
          <w:rPr>
            <w:noProof/>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903" w:history="1">
        <w:r w:rsidR="00E77BF9" w:rsidRPr="00A80850">
          <w:rPr>
            <w:rStyle w:val="Hyperlink"/>
          </w:rPr>
          <w:t>1. FORMA</w:t>
        </w:r>
        <w:r w:rsidR="00E77BF9">
          <w:rPr>
            <w:webHidden/>
          </w:rPr>
          <w:tab/>
        </w:r>
        <w:r>
          <w:rPr>
            <w:webHidden/>
          </w:rPr>
          <w:fldChar w:fldCharType="begin"/>
        </w:r>
        <w:r w:rsidR="00E77BF9">
          <w:rPr>
            <w:webHidden/>
          </w:rPr>
          <w:instrText xml:space="preserve"> PAGEREF _Toc489976903 \h </w:instrText>
        </w:r>
        <w:r>
          <w:rPr>
            <w:webHidden/>
          </w:rPr>
        </w:r>
        <w:r>
          <w:rPr>
            <w:webHidden/>
          </w:rPr>
          <w:fldChar w:fldCharType="separate"/>
        </w:r>
        <w:r w:rsidR="00E77BF9">
          <w:rPr>
            <w:webHidden/>
          </w:rPr>
          <w:t>49</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904" w:history="1">
        <w:r w:rsidR="00E77BF9" w:rsidRPr="00A80850">
          <w:rPr>
            <w:rStyle w:val="Hyperlink"/>
          </w:rPr>
          <w:t>2. FORMA</w:t>
        </w:r>
        <w:r w:rsidR="00E77BF9">
          <w:rPr>
            <w:webHidden/>
          </w:rPr>
          <w:tab/>
        </w:r>
        <w:r>
          <w:rPr>
            <w:webHidden/>
          </w:rPr>
          <w:fldChar w:fldCharType="begin"/>
        </w:r>
        <w:r w:rsidR="00E77BF9">
          <w:rPr>
            <w:webHidden/>
          </w:rPr>
          <w:instrText xml:space="preserve"> PAGEREF _Toc489976904 \h </w:instrText>
        </w:r>
        <w:r>
          <w:rPr>
            <w:webHidden/>
          </w:rPr>
        </w:r>
        <w:r>
          <w:rPr>
            <w:webHidden/>
          </w:rPr>
          <w:fldChar w:fldCharType="separate"/>
        </w:r>
        <w:r w:rsidR="00E77BF9">
          <w:rPr>
            <w:webHidden/>
          </w:rPr>
          <w:t>50</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905" w:history="1">
        <w:r w:rsidR="00E77BF9" w:rsidRPr="00A80850">
          <w:rPr>
            <w:rStyle w:val="Hyperlink"/>
          </w:rPr>
          <w:t>4.1.FORMA</w:t>
        </w:r>
        <w:r w:rsidR="00E77BF9">
          <w:rPr>
            <w:webHidden/>
          </w:rPr>
          <w:tab/>
        </w:r>
        <w:r>
          <w:rPr>
            <w:webHidden/>
          </w:rPr>
          <w:fldChar w:fldCharType="begin"/>
        </w:r>
        <w:r w:rsidR="00E77BF9">
          <w:rPr>
            <w:webHidden/>
          </w:rPr>
          <w:instrText xml:space="preserve"> PAGEREF _Toc489976905 \h </w:instrText>
        </w:r>
        <w:r>
          <w:rPr>
            <w:webHidden/>
          </w:rPr>
        </w:r>
        <w:r>
          <w:rPr>
            <w:webHidden/>
          </w:rPr>
          <w:fldChar w:fldCharType="separate"/>
        </w:r>
        <w:r w:rsidR="00E77BF9">
          <w:rPr>
            <w:webHidden/>
          </w:rPr>
          <w:t>54</w:t>
        </w:r>
        <w:r>
          <w:rPr>
            <w:webHidden/>
          </w:rPr>
          <w:fldChar w:fldCharType="end"/>
        </w:r>
      </w:hyperlink>
    </w:p>
    <w:p w:rsidR="00E77BF9" w:rsidRDefault="002C15FB">
      <w:pPr>
        <w:pStyle w:val="TOC2"/>
        <w:rPr>
          <w:rFonts w:asciiTheme="minorHAnsi" w:eastAsiaTheme="minorEastAsia" w:hAnsiTheme="minorHAnsi" w:cstheme="minorBidi"/>
          <w:b w:val="0"/>
          <w:bCs w:val="0"/>
          <w:sz w:val="22"/>
          <w:szCs w:val="22"/>
          <w:lang w:eastAsia="lv-LV"/>
        </w:rPr>
      </w:pPr>
      <w:hyperlink w:anchor="_Toc489976906" w:history="1">
        <w:r w:rsidR="00E77BF9" w:rsidRPr="00A80850">
          <w:rPr>
            <w:rStyle w:val="Hyperlink"/>
          </w:rPr>
          <w:t>4.2.FORMA</w:t>
        </w:r>
        <w:r w:rsidR="00E77BF9">
          <w:rPr>
            <w:webHidden/>
          </w:rPr>
          <w:tab/>
        </w:r>
        <w:r>
          <w:rPr>
            <w:webHidden/>
          </w:rPr>
          <w:fldChar w:fldCharType="begin"/>
        </w:r>
        <w:r w:rsidR="00E77BF9">
          <w:rPr>
            <w:webHidden/>
          </w:rPr>
          <w:instrText xml:space="preserve"> PAGEREF _Toc489976906 \h </w:instrText>
        </w:r>
        <w:r>
          <w:rPr>
            <w:webHidden/>
          </w:rPr>
        </w:r>
        <w:r>
          <w:rPr>
            <w:webHidden/>
          </w:rPr>
          <w:fldChar w:fldCharType="separate"/>
        </w:r>
        <w:r w:rsidR="00E77BF9">
          <w:rPr>
            <w:webHidden/>
          </w:rPr>
          <w:t>55</w:t>
        </w:r>
        <w:r>
          <w:rPr>
            <w:webHidden/>
          </w:rPr>
          <w:fldChar w:fldCharType="end"/>
        </w:r>
      </w:hyperlink>
    </w:p>
    <w:p w:rsidR="00933782" w:rsidRPr="00A66533" w:rsidRDefault="002C15FB"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89976873"/>
      <w:bookmarkStart w:id="18" w:name="INSTRUKCIJAS_PRETENDENTIEM_I"/>
      <w:r w:rsidRPr="00A66533">
        <w:rPr>
          <w:rFonts w:ascii="Times New Roman" w:hAnsi="Times New Roman" w:cs="Times New Roman"/>
          <w:lang w:val="lv-LV"/>
        </w:rPr>
        <w:t>INSTRUKCIJAS  PRETENDENTIEM</w:t>
      </w:r>
      <w:bookmarkEnd w:id="15"/>
      <w:bookmarkEnd w:id="16"/>
      <w:bookmarkEnd w:id="17"/>
    </w:p>
    <w:bookmarkEnd w:id="18"/>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89976874"/>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CC0186" w:rsidRDefault="004B4FAF" w:rsidP="00AA1E5D">
      <w:pPr>
        <w:jc w:val="both"/>
      </w:pPr>
      <w:r w:rsidRPr="00CC0186">
        <w:t xml:space="preserve">OSI </w:t>
      </w:r>
      <w:r w:rsidR="002710D4" w:rsidRPr="00CC0186">
        <w:t>2017</w:t>
      </w:r>
      <w:r w:rsidR="00D57F6A" w:rsidRPr="00CC0186">
        <w:t>/14</w:t>
      </w:r>
      <w:r w:rsidR="00B22DCA" w:rsidRPr="00CC0186">
        <w:t xml:space="preserve"> AK</w:t>
      </w:r>
      <w:r w:rsidR="0037048F" w:rsidRPr="00CC0186">
        <w:t xml:space="preserve"> ERAF</w:t>
      </w:r>
    </w:p>
    <w:p w:rsidR="009267EC" w:rsidRPr="00CC0186" w:rsidRDefault="002B0757" w:rsidP="002B0757">
      <w:pPr>
        <w:jc w:val="both"/>
      </w:pPr>
      <w:r w:rsidRPr="00CC0186">
        <w:t>CPV kodi:</w:t>
      </w:r>
      <w:r w:rsidR="00E049C8" w:rsidRPr="00CC0186">
        <w:t xml:space="preserve"> </w:t>
      </w:r>
      <w:r w:rsidR="00CC0186" w:rsidRPr="00CC0186">
        <w:t>Galvenās CPV kods</w:t>
      </w:r>
      <w:r w:rsidR="00E049C8" w:rsidRPr="00CC0186">
        <w:t xml:space="preserve">: </w:t>
      </w:r>
      <w:r w:rsidR="00CC0186" w:rsidRPr="00CC0186">
        <w:t>38000000-5</w:t>
      </w:r>
      <w:r w:rsidR="00F14EAD" w:rsidRPr="00CC0186">
        <w:t xml:space="preserve">. </w:t>
      </w:r>
      <w:r w:rsidR="007F7B36" w:rsidRPr="00CC0186">
        <w:t>Papildvārdnīcas kods</w:t>
      </w:r>
      <w:r w:rsidR="00F14EAD" w:rsidRPr="00CC0186">
        <w:t>:</w:t>
      </w:r>
      <w:r w:rsidRPr="00CC0186">
        <w:t xml:space="preserve"> </w:t>
      </w:r>
      <w:r w:rsidR="00CC0186" w:rsidRPr="00CC0186">
        <w:t>n/a</w:t>
      </w:r>
      <w:r w:rsidRPr="00CC0186">
        <w:t>.</w:t>
      </w:r>
    </w:p>
    <w:p w:rsidR="00CC0186" w:rsidRPr="00A66533" w:rsidRDefault="00CC0186" w:rsidP="002B0757">
      <w:pPr>
        <w:jc w:val="both"/>
      </w:pPr>
      <w:r w:rsidRPr="00CC0186">
        <w:t>Daļu kodi: 38434510-4; 38436300-3; 38000000-5; 38951000-6.</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151791" w:rsidRPr="00151791">
        <w:rPr>
          <w:u w:val="single"/>
        </w:rPr>
        <w:t>http://www.osi.lv/iepirkumi/</w:t>
      </w:r>
      <w:r w:rsidR="00151791">
        <w:t>.</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96365A" w:rsidRDefault="002B050D" w:rsidP="00AE70BD">
      <w:pPr>
        <w:widowControl/>
        <w:numPr>
          <w:ilvl w:val="2"/>
          <w:numId w:val="1"/>
        </w:numPr>
        <w:ind w:left="709" w:hanging="709"/>
        <w:jc w:val="both"/>
        <w:rPr>
          <w:b/>
        </w:rPr>
      </w:pPr>
      <w:r w:rsidRPr="0096365A">
        <w:t>Piedā</w:t>
      </w:r>
      <w:r w:rsidR="00CD06BF" w:rsidRPr="0096365A">
        <w:t>vājumi jāiesniedz vienā aizlīmētā</w:t>
      </w:r>
      <w:r w:rsidRPr="0096365A">
        <w:t>, aizzīmogotā un parakstītā aploksnē. Ja Piedāvājums netiks noformēts atbilstoši augstāk minētajai prasībai, tas tiks atgriezts Pretendentam, to nereģistrējot.</w:t>
      </w:r>
    </w:p>
    <w:p w:rsidR="002B050D" w:rsidRPr="00CC0186" w:rsidRDefault="002B050D" w:rsidP="00AE70BD">
      <w:pPr>
        <w:widowControl/>
        <w:numPr>
          <w:ilvl w:val="2"/>
          <w:numId w:val="1"/>
        </w:numPr>
        <w:spacing w:before="240"/>
        <w:jc w:val="both"/>
        <w:rPr>
          <w:b/>
        </w:rPr>
      </w:pPr>
      <w:r w:rsidRPr="0096365A">
        <w:t xml:space="preserve">Piedāvājuma </w:t>
      </w:r>
      <w:r w:rsidRPr="00CC0186">
        <w:t>iesniegšanas vieta un kārtība:</w:t>
      </w:r>
    </w:p>
    <w:p w:rsidR="002B050D" w:rsidRPr="00CC0186" w:rsidRDefault="002B050D" w:rsidP="00AE70BD">
      <w:pPr>
        <w:widowControl/>
        <w:numPr>
          <w:ilvl w:val="3"/>
          <w:numId w:val="1"/>
        </w:numPr>
        <w:tabs>
          <w:tab w:val="clear" w:pos="720"/>
          <w:tab w:val="num" w:pos="993"/>
          <w:tab w:val="num" w:pos="2880"/>
        </w:tabs>
        <w:spacing w:after="80"/>
        <w:ind w:left="993" w:hanging="851"/>
        <w:jc w:val="both"/>
      </w:pPr>
      <w:r w:rsidRPr="00CC0186">
        <w:t xml:space="preserve">Piedāvājums iesniedzams Latvijas Organiskās sintēzes institūta </w:t>
      </w:r>
      <w:r w:rsidR="00F919C0" w:rsidRPr="00CC0186">
        <w:t>112</w:t>
      </w:r>
      <w:r w:rsidRPr="00CC0186">
        <w:t>. telpā, 2. stāvā, Aizkraukles ielā 21, Rīgā.</w:t>
      </w:r>
    </w:p>
    <w:p w:rsidR="009267EC" w:rsidRPr="00CC0186" w:rsidRDefault="00E049C8" w:rsidP="00AE70BD">
      <w:pPr>
        <w:widowControl/>
        <w:numPr>
          <w:ilvl w:val="3"/>
          <w:numId w:val="1"/>
        </w:numPr>
        <w:tabs>
          <w:tab w:val="clear" w:pos="720"/>
          <w:tab w:val="num" w:pos="993"/>
          <w:tab w:val="num" w:pos="2880"/>
        </w:tabs>
        <w:spacing w:after="80"/>
        <w:ind w:left="993" w:hanging="851"/>
        <w:jc w:val="both"/>
      </w:pPr>
      <w:r w:rsidRPr="00CC0186">
        <w:rPr>
          <w:b/>
        </w:rPr>
        <w:t>Piedāvājums jāiesniedz</w:t>
      </w:r>
      <w:r w:rsidRPr="00CC0186">
        <w:t xml:space="preserve"> darba dienās, no plkst. 9:00 – 17:00, </w:t>
      </w:r>
      <w:r w:rsidR="007D1C32" w:rsidRPr="00CC0186">
        <w:rPr>
          <w:b/>
        </w:rPr>
        <w:t>līdz</w:t>
      </w:r>
      <w:r w:rsidR="00B30E61" w:rsidRPr="00CC0186">
        <w:rPr>
          <w:b/>
        </w:rPr>
        <w:t xml:space="preserve"> 2017</w:t>
      </w:r>
      <w:r w:rsidR="003C66C0" w:rsidRPr="00CC0186">
        <w:rPr>
          <w:b/>
        </w:rPr>
        <w:t>. gada 1</w:t>
      </w:r>
      <w:r w:rsidR="00595B8B" w:rsidRPr="00CC0186">
        <w:rPr>
          <w:b/>
        </w:rPr>
        <w:t>2</w:t>
      </w:r>
      <w:r w:rsidR="00BB45B4" w:rsidRPr="00CC0186">
        <w:rPr>
          <w:b/>
        </w:rPr>
        <w:t>.</w:t>
      </w:r>
      <w:r w:rsidR="00AE4267" w:rsidRPr="00CC0186">
        <w:rPr>
          <w:b/>
        </w:rPr>
        <w:t> </w:t>
      </w:r>
      <w:r w:rsidR="003C66C0" w:rsidRPr="00CC0186">
        <w:rPr>
          <w:b/>
        </w:rPr>
        <w:t>septembri</w:t>
      </w:r>
      <w:r w:rsidR="007A79FE" w:rsidRPr="00CC0186">
        <w:rPr>
          <w:b/>
        </w:rPr>
        <w:t>m</w:t>
      </w:r>
      <w:r w:rsidRPr="00CC0186">
        <w:rPr>
          <w:b/>
        </w:rPr>
        <w:t xml:space="preserve">, plkst. </w:t>
      </w:r>
      <w:r w:rsidR="002B050D" w:rsidRPr="00CC0186">
        <w:rPr>
          <w:b/>
        </w:rPr>
        <w:t>1</w:t>
      </w:r>
      <w:r w:rsidR="00B60984" w:rsidRPr="00CC0186">
        <w:rPr>
          <w:b/>
        </w:rPr>
        <w:t>4</w:t>
      </w:r>
      <w:r w:rsidRPr="00CC0186">
        <w:rPr>
          <w:b/>
        </w:rPr>
        <w:t>.00.</w:t>
      </w:r>
    </w:p>
    <w:p w:rsidR="003B61C8" w:rsidRPr="00CC0186" w:rsidRDefault="003B61C8" w:rsidP="00AE70BD">
      <w:pPr>
        <w:widowControl/>
        <w:numPr>
          <w:ilvl w:val="2"/>
          <w:numId w:val="1"/>
        </w:numPr>
        <w:tabs>
          <w:tab w:val="num" w:pos="2880"/>
        </w:tabs>
        <w:spacing w:before="240"/>
        <w:jc w:val="both"/>
      </w:pPr>
      <w:r w:rsidRPr="00CC0186">
        <w:t>Piedāvājumi, kas nav iesniegti noteiktajā kārtībā, nav noformēti tā, lai piedāvājumā</w:t>
      </w:r>
    </w:p>
    <w:p w:rsidR="003B61C8" w:rsidRPr="00CC0186" w:rsidRDefault="003B61C8" w:rsidP="003B61C8">
      <w:pPr>
        <w:widowControl/>
        <w:ind w:left="720"/>
        <w:jc w:val="both"/>
      </w:pPr>
      <w:r w:rsidRPr="00CC0186">
        <w:t>iekļautā informācija nebūtu pieejama līdz piedāvājuma atvēršanas brīdim, vai kas saņemti pēc norādītā ies</w:t>
      </w:r>
      <w:r w:rsidR="0091445F" w:rsidRPr="00CC0186">
        <w:t>niegšanas termiņa, netiek izska</w:t>
      </w:r>
      <w:r w:rsidRPr="00CC0186">
        <w:t>tīti un tiek atdoti atpakaļ iesniedzējam. Pretendents, iesniedzot piedāvājumu, var pieprasīt apliecinājumu tam, ka piedāvājums saņemts (ar norādi par piedāvājuma saņemšanas laiku).</w:t>
      </w:r>
    </w:p>
    <w:p w:rsidR="00F260B1" w:rsidRPr="00CC0186" w:rsidRDefault="00E049C8" w:rsidP="00AE70BD">
      <w:pPr>
        <w:widowControl/>
        <w:numPr>
          <w:ilvl w:val="2"/>
          <w:numId w:val="1"/>
        </w:numPr>
        <w:tabs>
          <w:tab w:val="num" w:pos="2880"/>
        </w:tabs>
        <w:spacing w:before="240" w:after="240"/>
        <w:jc w:val="both"/>
      </w:pPr>
      <w:r w:rsidRPr="00CC0186">
        <w:rPr>
          <w:b/>
        </w:rPr>
        <w:t xml:space="preserve">Piedāvājumi tiks atvērti </w:t>
      </w:r>
      <w:r w:rsidRPr="00CC0186">
        <w:t xml:space="preserve">Aizkraukles ielā 21, 2. stāva pārrunu zālē, Rīgā, </w:t>
      </w:r>
      <w:r w:rsidR="007D1C32" w:rsidRPr="00CC0186">
        <w:rPr>
          <w:b/>
        </w:rPr>
        <w:t>201</w:t>
      </w:r>
      <w:r w:rsidR="00B30E61" w:rsidRPr="00CC0186">
        <w:rPr>
          <w:b/>
        </w:rPr>
        <w:t>7</w:t>
      </w:r>
      <w:r w:rsidRPr="00CC0186">
        <w:rPr>
          <w:b/>
        </w:rPr>
        <w:t xml:space="preserve">. gada </w:t>
      </w:r>
      <w:r w:rsidR="003C66C0" w:rsidRPr="00CC0186">
        <w:rPr>
          <w:b/>
        </w:rPr>
        <w:t>12. septembrī</w:t>
      </w:r>
      <w:r w:rsidRPr="00CC0186">
        <w:rPr>
          <w:b/>
        </w:rPr>
        <w:t xml:space="preserve">, plkst. </w:t>
      </w:r>
      <w:r w:rsidR="00BB5E2C" w:rsidRPr="00CC0186">
        <w:rPr>
          <w:b/>
        </w:rPr>
        <w:t>1</w:t>
      </w:r>
      <w:r w:rsidR="00797098" w:rsidRPr="00CC0186">
        <w:rPr>
          <w:b/>
        </w:rPr>
        <w:t>4</w:t>
      </w:r>
      <w:r w:rsidRPr="00CC0186">
        <w:rPr>
          <w:b/>
        </w:rPr>
        <w:t>.00.</w:t>
      </w:r>
      <w:r w:rsidRPr="00CC0186">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Default="00F92B31" w:rsidP="00AE70BD">
      <w:pPr>
        <w:widowControl/>
        <w:numPr>
          <w:ilvl w:val="2"/>
          <w:numId w:val="1"/>
        </w:numPr>
        <w:tabs>
          <w:tab w:val="num" w:pos="2880"/>
        </w:tabs>
        <w:spacing w:before="240" w:after="240"/>
        <w:jc w:val="both"/>
      </w:pPr>
      <w:r w:rsidRPr="00CC0186">
        <w:lastRenderedPageBreak/>
        <w:t>Pretendenti drīkst atsaukt vai izdarīt labojumus iesniegtajā piedāvājumā</w:t>
      </w:r>
      <w:r w:rsidRPr="001C61D6">
        <w:t xml:space="preserve">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D57F6A" w:rsidRPr="00D57F6A">
        <w:rPr>
          <w:b/>
        </w:rPr>
        <w:t>Aparatūras farmakoloģiskajiem pētījumiem</w:t>
      </w:r>
      <w:r w:rsidR="003F7ECD" w:rsidRPr="003F7ECD">
        <w:rPr>
          <w:b/>
        </w:rPr>
        <w:t xml:space="preserve"> piegāde Latvijas Organiskās sintēzes institūtam</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4B4FAF">
        <w:rPr>
          <w:b/>
        </w:rPr>
        <w:t xml:space="preserve">OSI </w:t>
      </w:r>
      <w:r w:rsidR="002710D4">
        <w:rPr>
          <w:b/>
        </w:rPr>
        <w:t>2017</w:t>
      </w:r>
      <w:r w:rsidR="00D57F6A">
        <w:rPr>
          <w:b/>
        </w:rPr>
        <w:t>/14</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lastRenderedPageBreak/>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_Toc489976875"/>
      <w:bookmarkStart w:id="24" w:name="INFORMĀCIJA_PAR_IEPIRKUMA_PRIEKŠMETU_2"/>
      <w:r w:rsidRPr="00A66533">
        <w:rPr>
          <w:rStyle w:val="Strong"/>
          <w:b/>
          <w:caps/>
        </w:rPr>
        <w:t>Informācija par iepirkuma priekšmetu</w:t>
      </w:r>
      <w:bookmarkEnd w:id="22"/>
      <w:r w:rsidR="00F950E9">
        <w:rPr>
          <w:rStyle w:val="Strong"/>
          <w:b/>
          <w:caps/>
        </w:rPr>
        <w:t xml:space="preserve"> un līgum</w:t>
      </w:r>
      <w:r w:rsidR="0002283A">
        <w:rPr>
          <w:rStyle w:val="Strong"/>
          <w:b/>
          <w:caps/>
        </w:rPr>
        <w:t>a nosacījumiem</w:t>
      </w:r>
      <w:bookmarkEnd w:id="23"/>
    </w:p>
    <w:bookmarkEnd w:id="24"/>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w:t>
      </w:r>
      <w:r w:rsidR="001438C3">
        <w:t>a</w:t>
      </w:r>
      <w:r w:rsidR="001438C3" w:rsidRPr="001438C3">
        <w:t>paratūra</w:t>
      </w:r>
      <w:r w:rsidR="001438C3">
        <w:t>s</w:t>
      </w:r>
      <w:r w:rsidR="001438C3" w:rsidRPr="001438C3">
        <w:t xml:space="preserve"> darbam ar audiem un šūnu kultūrām un mitohondrijiem </w:t>
      </w:r>
      <w:proofErr w:type="spellStart"/>
      <w:r w:rsidR="001438C3" w:rsidRPr="001438C3">
        <w:rPr>
          <w:i/>
        </w:rPr>
        <w:t>in</w:t>
      </w:r>
      <w:proofErr w:type="spellEnd"/>
      <w:r w:rsidR="001438C3" w:rsidRPr="001438C3">
        <w:rPr>
          <w:i/>
        </w:rPr>
        <w:t xml:space="preserve"> </w:t>
      </w:r>
      <w:proofErr w:type="spellStart"/>
      <w:r w:rsidR="001438C3" w:rsidRPr="001438C3">
        <w:rPr>
          <w:i/>
        </w:rPr>
        <w:t>vitro</w:t>
      </w:r>
      <w:proofErr w:type="spellEnd"/>
      <w:r w:rsidR="001438C3">
        <w:t xml:space="preserve"> un a</w:t>
      </w:r>
      <w:r w:rsidR="001438C3" w:rsidRPr="001438C3">
        <w:t>paratūra</w:t>
      </w:r>
      <w:r w:rsidR="001438C3">
        <w:t>s</w:t>
      </w:r>
      <w:r w:rsidR="001438C3" w:rsidRPr="001438C3">
        <w:t xml:space="preserve"> gēnu un proteīnu ekspresijas noteikšanai</w:t>
      </w:r>
      <w:r w:rsidR="001438C3">
        <w:t xml:space="preserve"> piegāde </w:t>
      </w:r>
      <w:r w:rsidR="0041616E" w:rsidRPr="0041616E">
        <w:t>un saistīto pakalpojumu sniegšana</w:t>
      </w:r>
      <w:r w:rsidRPr="009C1C07">
        <w:t xml:space="preserve"> Latvijas Organiskās sintēzes institūtam </w:t>
      </w:r>
      <w:r w:rsidR="002B2F04" w:rsidRPr="002B2F04">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t>, turpmāk tekstā „</w:t>
      </w:r>
      <w:r w:rsidR="006B5DFA">
        <w:t>P</w:t>
      </w:r>
      <w:r>
        <w:t>iegādes”.</w:t>
      </w:r>
    </w:p>
    <w:p w:rsidR="00A55B73" w:rsidRPr="00A66533" w:rsidRDefault="00E91ACD" w:rsidP="00E91ACD">
      <w:pPr>
        <w:pStyle w:val="ListParagraph"/>
        <w:ind w:left="360"/>
        <w:jc w:val="both"/>
      </w:pPr>
      <w:r w:rsidRPr="003132FB">
        <w:t xml:space="preserve">Piegādātājam ir jāveic </w:t>
      </w:r>
      <w:r w:rsidR="006A6429">
        <w:t>P</w:t>
      </w:r>
      <w:r w:rsidRPr="003132FB">
        <w:t>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A30F94" w:rsidP="00BF7698">
      <w:pPr>
        <w:ind w:left="360"/>
        <w:jc w:val="both"/>
      </w:pPr>
      <w:r w:rsidRPr="00A66533">
        <w:rPr>
          <w:rStyle w:val="Strong"/>
          <w:b w:val="0"/>
          <w:caps/>
        </w:rPr>
        <w:t>P</w:t>
      </w:r>
      <w:r w:rsidRPr="00A66533">
        <w:t>retendents var iesniegt vienu piedāvājumu</w:t>
      </w:r>
      <w:r>
        <w:t xml:space="preserve"> par vienu vai vairākām, vai visām daļām</w:t>
      </w:r>
      <w:r w:rsidRPr="00A66533">
        <w:t xml:space="preserve"> saskaņā ar Tehnisko specifikāciju. (skat. Nolikuma II nodaļu „Tehniskās specifikācijas”).</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543AA5" w:rsidP="00124B29">
      <w:pPr>
        <w:ind w:left="360"/>
        <w:jc w:val="both"/>
        <w:rPr>
          <w:bCs/>
          <w:caps/>
        </w:rPr>
      </w:pPr>
      <w:r w:rsidRPr="00543AA5">
        <w:rPr>
          <w:bCs/>
        </w:rPr>
        <w:t>Tiks slēgts viens iepirkuma līgums par katru loti par visu lotes 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BB6434" w:rsidP="00AF6ED5">
      <w:pPr>
        <w:numPr>
          <w:ilvl w:val="2"/>
          <w:numId w:val="1"/>
        </w:numPr>
        <w:spacing w:after="240"/>
        <w:jc w:val="both"/>
      </w:pPr>
      <w:r>
        <w:t>Līguma</w:t>
      </w:r>
      <w:r w:rsidR="00C47D62">
        <w:t xml:space="preserve"> izpildes laiks ir </w:t>
      </w:r>
      <w:r w:rsidR="00C47D62" w:rsidRPr="00C47D62">
        <w:rPr>
          <w:b/>
        </w:rPr>
        <w:t>4</w:t>
      </w:r>
      <w:r w:rsidR="00AF6ED5" w:rsidRPr="00AF6ED5">
        <w:t xml:space="preserve"> (</w:t>
      </w:r>
      <w:r w:rsidR="00C47D62">
        <w:t>četr</w:t>
      </w:r>
      <w:r w:rsidR="006E38FF">
        <w:t>i</w:t>
      </w:r>
      <w:r w:rsidR="00AF6ED5" w:rsidRPr="00AF6ED5">
        <w:t xml:space="preserve">) </w:t>
      </w:r>
      <w:r w:rsidR="00AF6ED5" w:rsidRPr="00C47D62">
        <w:rPr>
          <w:b/>
        </w:rPr>
        <w:t>mēneši</w:t>
      </w:r>
      <w:r w:rsidR="00AF6ED5" w:rsidRPr="00AF6ED5">
        <w:t xml:space="preserve"> pēc iepirkuma līguma noslēgšanas, ja </w:t>
      </w:r>
      <w:r>
        <w:t>preču</w:t>
      </w:r>
      <w:r w:rsidR="00AF6ED5" w:rsidRPr="00AF6ED5">
        <w:t xml:space="preserve">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lastRenderedPageBreak/>
        <w:t>G</w:t>
      </w:r>
      <w:r>
        <w:rPr>
          <w:u w:val="single"/>
        </w:rPr>
        <w:t>arantijas laiks vismaz 2</w:t>
      </w:r>
      <w:r w:rsidRPr="00C62B92">
        <w:rPr>
          <w:u w:val="single"/>
        </w:rPr>
        <w:t xml:space="preserve"> (</w:t>
      </w:r>
      <w:r>
        <w:rPr>
          <w:u w:val="single"/>
        </w:rPr>
        <w:t>divi</w:t>
      </w:r>
      <w:r w:rsidRPr="00DB7FAB">
        <w:rPr>
          <w:u w:val="single"/>
        </w:rPr>
        <w:t>) gadi</w:t>
      </w:r>
      <w:r w:rsidRPr="0030746D">
        <w:t xml:space="preserve"> no </w:t>
      </w:r>
      <w:r w:rsidR="00BB6434">
        <w:t>preču</w:t>
      </w:r>
      <w:r w:rsidRPr="0030746D">
        <w:t xml:space="preserve"> pieņemšanas-nodošanas akta parakstīšanas brīža, ja </w:t>
      </w:r>
      <w:r w:rsidR="00BB6434">
        <w:t>preču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_Toc489976876"/>
      <w:bookmarkStart w:id="28" w:name="PRETENDENTU_ATLASES_PRASĪBAS_3"/>
      <w:r w:rsidRPr="00A66533">
        <w:rPr>
          <w:bCs/>
          <w:caps/>
        </w:rPr>
        <w:t>Pretendentu izslēgšanas nosacījumi, ATLASES UN KVALIFIKĀCIJAS PRASĪBAS</w:t>
      </w:r>
      <w:bookmarkEnd w:id="25"/>
      <w:bookmarkEnd w:id="26"/>
      <w:bookmarkEnd w:id="27"/>
    </w:p>
    <w:bookmarkEnd w:id="28"/>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w:t>
      </w:r>
      <w:r w:rsidR="00D91070">
        <w:lastRenderedPageBreak/>
        <w:t>6.punktā un</w:t>
      </w:r>
      <w:r w:rsidRPr="00A66533">
        <w:t xml:space="preserve"> </w:t>
      </w:r>
      <w:r w:rsidR="00D91070">
        <w:t>7</w:t>
      </w:r>
      <w:r w:rsidRPr="00A66533">
        <w:t xml:space="preserve">.punkta "b" apakšpunktā un </w:t>
      </w:r>
      <w:r w:rsidR="00840123" w:rsidRPr="00840123">
        <w:t>otrās daļas 2. punktā</w:t>
      </w:r>
      <w:r w:rsidRPr="00A66533">
        <w:t xml:space="preserve"> minētajiem 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panta 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41616E" w:rsidRDefault="004F29BF" w:rsidP="004F29BF">
      <w:pPr>
        <w:numPr>
          <w:ilvl w:val="1"/>
          <w:numId w:val="1"/>
        </w:numPr>
        <w:jc w:val="both"/>
      </w:pPr>
      <w:r w:rsidRPr="0041616E">
        <w:t xml:space="preserve"> </w:t>
      </w:r>
      <w:r w:rsidRPr="0041616E">
        <w:rPr>
          <w:b/>
        </w:rPr>
        <w:t>Kvalifikācijas prasības</w:t>
      </w:r>
    </w:p>
    <w:p w:rsidR="00D06CDA" w:rsidRDefault="00824BF6" w:rsidP="00824BF6">
      <w:pPr>
        <w:numPr>
          <w:ilvl w:val="2"/>
          <w:numId w:val="1"/>
        </w:numPr>
        <w:jc w:val="both"/>
      </w:pPr>
      <w:r w:rsidRPr="0041616E">
        <w:t>Pretendents vismaz vienu reizi ir veicis piedāvātajām precēm līdzīgu (pēc funkcionalitātes un pielietojuma) preču piegādi un uzstādīšanu ne agrāk kā pēdējo trīs kalendāro gadu laikā (</w:t>
      </w:r>
      <w:r w:rsidR="0041616E" w:rsidRPr="0041616E">
        <w:t>2014., 2015</w:t>
      </w:r>
      <w:r w:rsidRPr="0041616E">
        <w:t>.</w:t>
      </w:r>
      <w:r w:rsidR="0041616E" w:rsidRPr="0041616E">
        <w:t>, 2016. un 2017</w:t>
      </w:r>
      <w:r w:rsidRPr="0041616E">
        <w:t xml:space="preserve">. gadi) par summu, kas nav mazāka par </w:t>
      </w:r>
      <w:r w:rsidR="0041616E" w:rsidRPr="0041616E">
        <w:t xml:space="preserve">vienu </w:t>
      </w:r>
      <w:r w:rsidR="00D06CDA">
        <w:t>trešo daļu</w:t>
      </w:r>
      <w:r w:rsidR="0041616E" w:rsidRPr="0041616E">
        <w:t xml:space="preserve"> no </w:t>
      </w:r>
      <w:r w:rsidR="00D06CDA">
        <w:t xml:space="preserve">attiecīgās iepirkuma daļas (lotes), par kuru tiek iesniegts piedāvājums, </w:t>
      </w:r>
      <w:r w:rsidR="009B27BB">
        <w:t>paredza</w:t>
      </w:r>
      <w:r w:rsidR="00D06CDA">
        <w:t>mās līgumcenas.</w:t>
      </w:r>
    </w:p>
    <w:p w:rsidR="00D06CDA" w:rsidRDefault="00D06CDA" w:rsidP="00D06CDA">
      <w:pPr>
        <w:ind w:left="720"/>
        <w:jc w:val="both"/>
      </w:pPr>
      <w:r>
        <w:t xml:space="preserve">Lotēs </w:t>
      </w:r>
      <w:r w:rsidR="009B27BB">
        <w:t>paredzamā</w:t>
      </w:r>
      <w:r>
        <w:t>s</w:t>
      </w:r>
      <w:r w:rsidR="009B27BB">
        <w:t xml:space="preserve"> līgumcena</w:t>
      </w:r>
      <w:r>
        <w:t xml:space="preserve">s </w:t>
      </w:r>
      <w:r w:rsidR="009B27BB">
        <w:t xml:space="preserve">ir </w:t>
      </w:r>
      <w:r>
        <w:t>sekojošas:</w:t>
      </w:r>
    </w:p>
    <w:p w:rsidR="00824BF6" w:rsidRDefault="00D06CDA" w:rsidP="003E3B4D">
      <w:pPr>
        <w:pStyle w:val="ListParagraph"/>
        <w:numPr>
          <w:ilvl w:val="0"/>
          <w:numId w:val="44"/>
        </w:numPr>
        <w:jc w:val="both"/>
      </w:pPr>
      <w:r>
        <w:t xml:space="preserve">1. Lote: </w:t>
      </w:r>
      <w:r w:rsidR="009B27BB">
        <w:t xml:space="preserve">EUR </w:t>
      </w:r>
      <w:r w:rsidRPr="00D06CDA">
        <w:t>210</w:t>
      </w:r>
      <w:r>
        <w:t> </w:t>
      </w:r>
      <w:r w:rsidRPr="00D06CDA">
        <w:t>000</w:t>
      </w:r>
      <w:r w:rsidR="009B27BB">
        <w:t>,00</w:t>
      </w:r>
      <w:r>
        <w:t>;</w:t>
      </w:r>
    </w:p>
    <w:p w:rsidR="00D06CDA" w:rsidRDefault="00D06CDA" w:rsidP="003E3B4D">
      <w:pPr>
        <w:pStyle w:val="ListParagraph"/>
        <w:numPr>
          <w:ilvl w:val="0"/>
          <w:numId w:val="44"/>
        </w:numPr>
        <w:jc w:val="both"/>
      </w:pPr>
      <w:r>
        <w:t xml:space="preserve">2. Lote: EUR </w:t>
      </w:r>
      <w:r w:rsidRPr="00D06CDA">
        <w:t>25</w:t>
      </w:r>
      <w:r>
        <w:t> </w:t>
      </w:r>
      <w:r w:rsidRPr="00D06CDA">
        <w:t>000</w:t>
      </w:r>
      <w:r>
        <w:t>,00;</w:t>
      </w:r>
    </w:p>
    <w:p w:rsidR="00D06CDA" w:rsidRDefault="00D06CDA" w:rsidP="003E3B4D">
      <w:pPr>
        <w:pStyle w:val="ListParagraph"/>
        <w:numPr>
          <w:ilvl w:val="0"/>
          <w:numId w:val="44"/>
        </w:numPr>
        <w:jc w:val="both"/>
      </w:pPr>
      <w:r>
        <w:t xml:space="preserve">3. Lote: EUR </w:t>
      </w:r>
      <w:r w:rsidRPr="00D06CDA">
        <w:t>65</w:t>
      </w:r>
      <w:r>
        <w:t> </w:t>
      </w:r>
      <w:r w:rsidRPr="00D06CDA">
        <w:t>000</w:t>
      </w:r>
      <w:r>
        <w:t>,00;</w:t>
      </w:r>
    </w:p>
    <w:p w:rsidR="00D06CDA" w:rsidRPr="0041616E" w:rsidRDefault="00D06CDA" w:rsidP="003E3B4D">
      <w:pPr>
        <w:pStyle w:val="ListParagraph"/>
        <w:numPr>
          <w:ilvl w:val="0"/>
          <w:numId w:val="44"/>
        </w:numPr>
        <w:spacing w:after="240"/>
        <w:jc w:val="both"/>
      </w:pPr>
      <w:r>
        <w:t>4. Lote: EUR</w:t>
      </w:r>
      <w:r w:rsidRPr="00D06CDA">
        <w:t xml:space="preserve"> 15</w:t>
      </w:r>
      <w:r>
        <w:t> </w:t>
      </w:r>
      <w:r w:rsidRPr="00D06CDA">
        <w:t>000</w:t>
      </w:r>
      <w:r>
        <w:t>,00.</w:t>
      </w:r>
    </w:p>
    <w:p w:rsidR="00824BF6" w:rsidRPr="0041616E" w:rsidRDefault="00824BF6" w:rsidP="00824BF6">
      <w:pPr>
        <w:numPr>
          <w:ilvl w:val="2"/>
          <w:numId w:val="1"/>
        </w:numPr>
        <w:spacing w:after="240"/>
        <w:jc w:val="both"/>
      </w:pPr>
      <w:r w:rsidRPr="0041616E">
        <w:t xml:space="preserve">Pretendents ir saņēmis vismaz vienu pozitīvu atsauksmi no pasūtītāja, kam tas ir piegādājis līdzīgas (pēc funkcionalitātes un pielietojuma) preces un veicis to uzstādīšanu ne agrāk kā pēdējo trīs kalendāro gadu laikā </w:t>
      </w:r>
      <w:r w:rsidR="0041616E" w:rsidRPr="0041616E">
        <w:t>(2014., 2015., 2016. un 2017</w:t>
      </w:r>
      <w:r w:rsidRPr="0041616E">
        <w:t xml:space="preserve">. gadi) par summu, kas </w:t>
      </w:r>
      <w:r w:rsidR="00184FDC">
        <w:t>atbilst iepirkuma Nolikuma 3.3.1.punkta prasībām</w:t>
      </w:r>
      <w:r w:rsidRPr="0041616E">
        <w:t>.</w:t>
      </w:r>
    </w:p>
    <w:p w:rsidR="00824BF6" w:rsidRPr="00052932" w:rsidRDefault="00824BF6" w:rsidP="00824BF6">
      <w:pPr>
        <w:numPr>
          <w:ilvl w:val="2"/>
          <w:numId w:val="1"/>
        </w:numPr>
        <w:jc w:val="both"/>
      </w:pPr>
      <w:r w:rsidRPr="00052932">
        <w:t>Pretendents ir saņēmis oficiālu apliecinājumu no piedāvāto preču ražotāja par tiesībām veikt</w:t>
      </w:r>
      <w:r w:rsidR="00D51DB1">
        <w:t xml:space="preserve"> šo preču uzstādīšanu,</w:t>
      </w:r>
      <w:r w:rsidRPr="00052932">
        <w:t xml:space="preserve"> garantijas remontu un apkopi </w:t>
      </w:r>
      <w:r w:rsidRPr="00052932">
        <w:rPr>
          <w:i/>
        </w:rPr>
        <w:t>(apkope nav iepirkuma līguma sastāvdaļa)</w:t>
      </w:r>
      <w:r w:rsidRPr="00052932">
        <w:t>.</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w:t>
      </w:r>
      <w:r w:rsidR="00D51DB1">
        <w:t>kvalificēts</w:t>
      </w:r>
      <w:r w:rsidRPr="00EB16A4">
        <w:t xml:space="preserve"> veikt piegādājamo </w:t>
      </w:r>
      <w:r>
        <w:t>preču</w:t>
      </w:r>
      <w:r w:rsidR="00D51DB1">
        <w:t xml:space="preserve"> uzstādīšanu,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BB0A63" w:rsidRPr="00824BF6" w:rsidRDefault="00BB0A63" w:rsidP="00D805EE">
      <w:pPr>
        <w:numPr>
          <w:ilvl w:val="2"/>
          <w:numId w:val="1"/>
        </w:numPr>
        <w:jc w:val="both"/>
      </w:pPr>
      <w:r>
        <w:t>Ja pretendents ir personu apvienība, tad vismaz vienam apvienības dalībniekam jābūt atbilstošam</w:t>
      </w:r>
      <w:r w:rsidR="0001439D">
        <w:t xml:space="preserve"> visām</w:t>
      </w:r>
      <w:r>
        <w:t xml:space="preserve"> kvalifikācijas prasību 3.3.1. līdz </w:t>
      </w:r>
      <w:r w:rsidR="00FE6A58">
        <w:t>3.3.2</w:t>
      </w:r>
      <w:r w:rsidR="00945210">
        <w:t>.punktos minētajām prasībām</w:t>
      </w:r>
      <w:r w:rsidR="0001439D">
        <w:t>.</w:t>
      </w:r>
    </w:p>
    <w:p w:rsidR="00617B2B" w:rsidRPr="00A66533" w:rsidRDefault="00617B2B" w:rsidP="00945210">
      <w:pPr>
        <w:spacing w:before="240" w:after="240"/>
        <w:ind w:left="720"/>
        <w:jc w:val="both"/>
        <w:rPr>
          <w:b/>
          <w:bCs/>
          <w:caps/>
        </w:rPr>
      </w:pPr>
    </w:p>
    <w:p w:rsidR="00617B2B" w:rsidRPr="00986C58" w:rsidRDefault="00617B2B" w:rsidP="00617B2B">
      <w:pPr>
        <w:pStyle w:val="Heading2"/>
        <w:numPr>
          <w:ilvl w:val="0"/>
          <w:numId w:val="1"/>
        </w:numPr>
        <w:jc w:val="center"/>
        <w:rPr>
          <w:caps/>
        </w:rPr>
      </w:pPr>
      <w:bookmarkStart w:id="29" w:name="_Toc489976877"/>
      <w:bookmarkStart w:id="30" w:name="IESNIEDZAMIE_DOKUMENTI_4"/>
      <w:r w:rsidRPr="00986C58">
        <w:rPr>
          <w:caps/>
        </w:rPr>
        <w:t>Iesniedzamie dokumenti</w:t>
      </w:r>
      <w:bookmarkEnd w:id="29"/>
    </w:p>
    <w:bookmarkEnd w:id="30"/>
    <w:p w:rsidR="00617B2B" w:rsidRPr="00986C58" w:rsidRDefault="00617B2B" w:rsidP="00617B2B">
      <w:pPr>
        <w:ind w:left="360"/>
        <w:jc w:val="center"/>
        <w:rPr>
          <w:b/>
          <w:caps/>
        </w:rPr>
      </w:pPr>
    </w:p>
    <w:p w:rsidR="00617B2B" w:rsidRPr="00986C58" w:rsidRDefault="00617B2B" w:rsidP="00617B2B">
      <w:pPr>
        <w:numPr>
          <w:ilvl w:val="1"/>
          <w:numId w:val="1"/>
        </w:numPr>
        <w:jc w:val="both"/>
        <w:rPr>
          <w:b/>
          <w:caps/>
        </w:rPr>
      </w:pPr>
      <w:r w:rsidRPr="00986C58">
        <w:rPr>
          <w:b/>
          <w:caps/>
        </w:rPr>
        <w:t xml:space="preserve"> </w:t>
      </w:r>
      <w:r w:rsidR="00FE3C3C" w:rsidRPr="00986C58">
        <w:rPr>
          <w:b/>
        </w:rPr>
        <w:t xml:space="preserve">Pretendentu </w:t>
      </w:r>
      <w:r w:rsidR="003C3BE2" w:rsidRPr="00986C58">
        <w:rPr>
          <w:b/>
        </w:rPr>
        <w:t>atlases dokumenti</w:t>
      </w:r>
    </w:p>
    <w:p w:rsidR="003C3BE2" w:rsidRPr="00986C58" w:rsidRDefault="003C3BE2" w:rsidP="003C3BE2">
      <w:pPr>
        <w:numPr>
          <w:ilvl w:val="2"/>
          <w:numId w:val="1"/>
        </w:numPr>
        <w:jc w:val="both"/>
        <w:rPr>
          <w:b/>
          <w:caps/>
        </w:rPr>
      </w:pPr>
      <w:r w:rsidRPr="00986C58">
        <w:t>Pieteikums dalībai konkursā.</w:t>
      </w:r>
    </w:p>
    <w:p w:rsidR="00617B2B" w:rsidRPr="00A66533" w:rsidRDefault="003C3BE2" w:rsidP="003C3BE2">
      <w:pPr>
        <w:spacing w:after="240"/>
        <w:ind w:left="720"/>
        <w:jc w:val="both"/>
        <w:rPr>
          <w:b/>
          <w:caps/>
        </w:rPr>
      </w:pPr>
      <w:r w:rsidRPr="00986C5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w:t>
      </w:r>
      <w:r w:rsidRPr="00A66533">
        <w:t xml:space="preserve">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par vismaz vienu piedāvātajām precēm līdzīgu (pēc funkcionalitātes un pielietojuma) preču piegādes gadījumu ne agrāk kā pēdējo</w:t>
      </w:r>
      <w:r w:rsidR="00E97B17" w:rsidRPr="00E97B17">
        <w:t xml:space="preserve"> trīs kalendāro gadu laikā (2014., 2015., 2016. un 2017</w:t>
      </w:r>
      <w:r w:rsidRPr="00E97B17">
        <w:t xml:space="preserve">. gadi) par summu, </w:t>
      </w:r>
      <w:r w:rsidR="00945210" w:rsidRPr="00945210">
        <w:t>kas nav mazāka par vienu trešo daļu no attiecīgās iepirkuma daļas (lotes), par kuru tiek iesniegts piedāvājums, paredzamās līgumcenas</w:t>
      </w:r>
      <w:r w:rsidR="00945210">
        <w:t xml:space="preserve">. </w:t>
      </w:r>
      <w:r w:rsidRPr="00E97B17">
        <w:t>Apliecinājumā jānorāda:</w:t>
      </w:r>
    </w:p>
    <w:p w:rsidR="00BB0A63" w:rsidRPr="00E97B17" w:rsidRDefault="00BB0A63" w:rsidP="001D10AC">
      <w:pPr>
        <w:pStyle w:val="ListParagraph"/>
        <w:numPr>
          <w:ilvl w:val="0"/>
          <w:numId w:val="13"/>
        </w:numPr>
        <w:ind w:left="1134"/>
        <w:jc w:val="both"/>
      </w:pPr>
      <w:r w:rsidRPr="00E97B17">
        <w:lastRenderedPageBreak/>
        <w:t>piegādāto preču nosaukumi;</w:t>
      </w:r>
    </w:p>
    <w:p w:rsidR="00BB0A63" w:rsidRPr="00E97B17" w:rsidRDefault="00BB0A63" w:rsidP="001D10AC">
      <w:pPr>
        <w:pStyle w:val="ListParagraph"/>
        <w:numPr>
          <w:ilvl w:val="0"/>
          <w:numId w:val="13"/>
        </w:numPr>
        <w:ind w:left="1134"/>
        <w:jc w:val="both"/>
      </w:pPr>
      <w:r w:rsidRPr="00E97B17">
        <w:t>piegādāto preču kopējā vērtība (cena);</w:t>
      </w:r>
    </w:p>
    <w:p w:rsidR="00BB0A63" w:rsidRPr="00E97B17" w:rsidRDefault="00BB0A63" w:rsidP="001D10AC">
      <w:pPr>
        <w:pStyle w:val="ListParagraph"/>
        <w:numPr>
          <w:ilvl w:val="0"/>
          <w:numId w:val="13"/>
        </w:numPr>
        <w:ind w:left="1134"/>
        <w:jc w:val="both"/>
      </w:pPr>
      <w:r w:rsidRPr="00E97B17">
        <w:t>ar piegādātajām precēm saistīto sniegto pakalpojumu veidi;</w:t>
      </w:r>
    </w:p>
    <w:p w:rsidR="00BB0A63" w:rsidRPr="00E97B17" w:rsidRDefault="00BB0A63" w:rsidP="001D10AC">
      <w:pPr>
        <w:pStyle w:val="ListParagraph"/>
        <w:numPr>
          <w:ilvl w:val="0"/>
          <w:numId w:val="13"/>
        </w:numPr>
        <w:spacing w:after="240"/>
        <w:ind w:left="1134"/>
        <w:jc w:val="both"/>
      </w:pPr>
      <w:r w:rsidRPr="00E97B17">
        <w:t>piegādāto preču saņēmēju nosaukumi un to adreses.</w:t>
      </w:r>
    </w:p>
    <w:p w:rsidR="00BB0A63" w:rsidRPr="00E97B17" w:rsidRDefault="00BB0A63" w:rsidP="00BB0A63">
      <w:pPr>
        <w:numPr>
          <w:ilvl w:val="2"/>
          <w:numId w:val="1"/>
        </w:numPr>
        <w:spacing w:after="240"/>
        <w:jc w:val="both"/>
      </w:pPr>
      <w:r w:rsidRPr="00E97B17">
        <w:t>Vismaz viena pozitīva atsauksme no pasūtītāja, kam Pretendents ir piegādājis līdzīgas (pēc funkcionalitātes un pielietojuma) preces un veicis to uzstādīšanu ne agrāk kā pēdējo</w:t>
      </w:r>
      <w:r w:rsidR="00E97B17" w:rsidRPr="00E97B17">
        <w:t xml:space="preserve"> trīs kalendāro gadu laikā (2014., 2015., 2016. un 2017</w:t>
      </w:r>
      <w:r w:rsidRPr="00E97B17">
        <w:t xml:space="preserve">. gadi) par summu, </w:t>
      </w:r>
      <w:r w:rsidR="00FE4E66" w:rsidRPr="00FE4E66">
        <w:t>kas atbilst iepirkuma Nolikuma 3.3.1.punkta prasībām</w:t>
      </w:r>
      <w:r w:rsidRPr="00E97B17">
        <w:t>.</w:t>
      </w:r>
    </w:p>
    <w:p w:rsidR="00BB0A63" w:rsidRPr="00E97B17" w:rsidRDefault="00BB0A63" w:rsidP="00BB0A63">
      <w:pPr>
        <w:numPr>
          <w:ilvl w:val="2"/>
          <w:numId w:val="1"/>
        </w:numPr>
        <w:jc w:val="both"/>
      </w:pPr>
      <w:r w:rsidRPr="00E97B17">
        <w:t>Oficiāls apliecinājums no piedāvāto preču ražotāja par tiesībām veikt</w:t>
      </w:r>
      <w:r w:rsidR="00B11D48">
        <w:t xml:space="preserve"> šo preču uzstādīšanu,</w:t>
      </w:r>
      <w:r w:rsidRPr="00E97B17">
        <w:t xml:space="preserve"> garantijas remontu un apkopi </w:t>
      </w:r>
      <w:r w:rsidRPr="00E97B17">
        <w:rPr>
          <w:i/>
        </w:rPr>
        <w:t>(apkope nav iepirkuma līguma sastāvdaļa)</w:t>
      </w:r>
      <w:r w:rsidRPr="00E97B17">
        <w:t>.</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w:t>
      </w:r>
      <w:r w:rsidR="00B11D48" w:rsidRPr="00B11D48">
        <w:t xml:space="preserve">kvalificēts </w:t>
      </w:r>
      <w:r w:rsidRPr="00B05BFD">
        <w:t xml:space="preserve">veikt piegādājamo </w:t>
      </w:r>
      <w:r>
        <w:t>preču</w:t>
      </w:r>
      <w:r w:rsidR="00B11D48">
        <w:t xml:space="preserve"> uzstādīšanu,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E13E11" w:rsidRPr="00E97B17">
        <w:t>4</w:t>
      </w:r>
      <w:r w:rsidRPr="00E97B17">
        <w:t>.</w:t>
      </w:r>
      <w:r w:rsidR="00E824E0" w:rsidRPr="00E97B17">
        <w:t>2</w:t>
      </w:r>
      <w:r w:rsidRPr="00E97B17">
        <w:t>.</w:t>
      </w:r>
      <w:r w:rsidR="00E13E11" w:rsidRPr="00E97B17">
        <w:t>1.</w:t>
      </w:r>
      <w:r w:rsidR="00FE4E66">
        <w:t xml:space="preserve"> līdz 4.2.4</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lastRenderedPageBreak/>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w:t>
      </w:r>
      <w:r w:rsidR="001D10AC">
        <w:t>vājuma sagatavošanai” 2. formai</w:t>
      </w:r>
      <w:r w:rsidR="00F40BC7" w:rsidRPr="00A66533">
        <w:t>.</w:t>
      </w:r>
    </w:p>
    <w:p w:rsidR="00874B21" w:rsidRDefault="001A3738" w:rsidP="00F40BC7">
      <w:pPr>
        <w:numPr>
          <w:ilvl w:val="2"/>
          <w:numId w:val="1"/>
        </w:numPr>
        <w:spacing w:after="240"/>
        <w:jc w:val="both"/>
      </w:pPr>
      <w:r w:rsidRPr="001A3738">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A66533">
        <w:t>. (</w:t>
      </w:r>
      <w:r w:rsidR="00874B21"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 xml:space="preserve">Finanšu piedāvājumu sagatavo, ņemot vērā Tehniskajās specifikācijās noteikto piegādājamo Preču un Saistīto pakalpojumu apjomu un raksturojumu atbilstoši Finanšu </w:t>
      </w:r>
      <w:r w:rsidRPr="003132FB">
        <w:lastRenderedPageBreak/>
        <w:t>piedāvājuma formai (Nolikuma IV Nodaļas 3. forma).</w:t>
      </w:r>
    </w:p>
    <w:p w:rsidR="00617B2B" w:rsidRDefault="005E6AF2" w:rsidP="005E6AF2">
      <w:pPr>
        <w:widowControl/>
        <w:numPr>
          <w:ilvl w:val="2"/>
          <w:numId w:val="1"/>
        </w:numPr>
        <w:spacing w:after="240"/>
        <w:jc w:val="both"/>
      </w:pPr>
      <w:r w:rsidRPr="003132FB">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5E6AF2">
      <w:pPr>
        <w:widowControl/>
        <w:numPr>
          <w:ilvl w:val="0"/>
          <w:numId w:val="23"/>
        </w:numPr>
        <w:jc w:val="both"/>
      </w:pPr>
      <w:r w:rsidRPr="003132FB">
        <w:t>preču piegādes izdevumiem pasūtītāja norādītajās adresē;</w:t>
      </w:r>
    </w:p>
    <w:p w:rsidR="005E6AF2" w:rsidRPr="003132FB" w:rsidRDefault="005E6AF2" w:rsidP="005E6AF2">
      <w:pPr>
        <w:widowControl/>
        <w:numPr>
          <w:ilvl w:val="0"/>
          <w:numId w:val="23"/>
        </w:numPr>
        <w:jc w:val="both"/>
      </w:pPr>
      <w:r w:rsidRPr="003132FB">
        <w:t>tehniskā nodrošinājuma izmaksām;</w:t>
      </w:r>
    </w:p>
    <w:p w:rsidR="005E6AF2" w:rsidRPr="003132FB" w:rsidRDefault="005E6AF2" w:rsidP="005E6AF2">
      <w:pPr>
        <w:widowControl/>
        <w:numPr>
          <w:ilvl w:val="0"/>
          <w:numId w:val="23"/>
        </w:numPr>
        <w:jc w:val="both"/>
      </w:pPr>
      <w:r w:rsidRPr="003132FB">
        <w:t>citām nodokļu izmaksām, t.sk. ar preču atmuitošanu saistītiem izdevumiem, izņemot pievienotās vērtības nodokļa izmaksas, ar ko tiek aplikta preču piegāde un ar tām saistīto pakalpojumu sniegšana;</w:t>
      </w:r>
    </w:p>
    <w:p w:rsidR="005E6AF2" w:rsidRDefault="005E6AF2" w:rsidP="005E6AF2">
      <w:pPr>
        <w:widowControl/>
        <w:numPr>
          <w:ilvl w:val="0"/>
          <w:numId w:val="23"/>
        </w:numPr>
        <w:jc w:val="both"/>
      </w:pPr>
      <w:r w:rsidRPr="003132FB">
        <w:t>Preču apdrošināšanai līdz pieņemšanai (ja nepieciešams);</w:t>
      </w:r>
    </w:p>
    <w:p w:rsidR="005E6AF2" w:rsidRPr="003132FB" w:rsidRDefault="005E6AF2" w:rsidP="005E6AF2">
      <w:pPr>
        <w:widowControl/>
        <w:numPr>
          <w:ilvl w:val="0"/>
          <w:numId w:val="23"/>
        </w:numPr>
        <w:jc w:val="both"/>
      </w:pPr>
      <w:r>
        <w:t>preču uzstādīšanas un palaišanas izmaksām (ja nepieciešams);</w:t>
      </w:r>
    </w:p>
    <w:p w:rsidR="005E6AF2" w:rsidRPr="003132FB" w:rsidRDefault="005E6AF2" w:rsidP="005E6AF2">
      <w:pPr>
        <w:widowControl/>
        <w:numPr>
          <w:ilvl w:val="0"/>
          <w:numId w:val="23"/>
        </w:numPr>
        <w:jc w:val="both"/>
      </w:pPr>
      <w:r w:rsidRPr="003132FB">
        <w:t>transporta, uzturēšanās (viesnīcu) izmaksām, dienas naudām (ja nepieciešams);</w:t>
      </w:r>
    </w:p>
    <w:p w:rsidR="005E6AF2" w:rsidRPr="003132FB" w:rsidRDefault="005E6AF2" w:rsidP="005E6AF2">
      <w:pPr>
        <w:widowControl/>
        <w:numPr>
          <w:ilvl w:val="0"/>
          <w:numId w:val="23"/>
        </w:numPr>
        <w:jc w:val="both"/>
      </w:pPr>
      <w:r w:rsidRPr="003132FB">
        <w:t>lietotāju apmācībai (ja nepieciešams);</w:t>
      </w:r>
    </w:p>
    <w:p w:rsidR="005E6AF2" w:rsidRPr="003132FB" w:rsidRDefault="005E6AF2" w:rsidP="005E6AF2">
      <w:pPr>
        <w:widowControl/>
        <w:numPr>
          <w:ilvl w:val="0"/>
          <w:numId w:val="23"/>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_Toc489976878"/>
      <w:bookmarkStart w:id="32" w:name="PIEDĀVĀJUMA_VĒRT_UN_IZV_KRITĒRIJI_5"/>
      <w:r w:rsidRPr="00A66533">
        <w:rPr>
          <w:bCs/>
          <w:caps/>
        </w:rPr>
        <w:t>Piedāvājuma vērtēšanas un izvēles kritēriji</w:t>
      </w:r>
      <w:bookmarkEnd w:id="31"/>
    </w:p>
    <w:bookmarkEnd w:id="32"/>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w:t>
      </w:r>
      <w:r w:rsidR="00394297">
        <w:lastRenderedPageBreak/>
        <w:t>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5B2B93" w:rsidRDefault="00BD595F" w:rsidP="007E7A81">
      <w:pPr>
        <w:numPr>
          <w:ilvl w:val="2"/>
          <w:numId w:val="1"/>
        </w:numPr>
        <w:jc w:val="both"/>
        <w:rPr>
          <w:b/>
          <w:bCs/>
          <w:caps/>
          <w:u w:val="single"/>
        </w:rPr>
      </w:pPr>
      <w:r w:rsidRPr="005B2B93">
        <w:rPr>
          <w:b/>
          <w:bCs/>
          <w:u w:val="single"/>
        </w:rPr>
        <w:t>Saimnieciski visizdevīgākā piedāvājuma izvēles kritēriji šajā iepirkumā ir sekojoši:</w:t>
      </w:r>
    </w:p>
    <w:p w:rsidR="00BD595F" w:rsidRPr="005B2B93" w:rsidRDefault="00BD595F" w:rsidP="00BD595F">
      <w:pPr>
        <w:numPr>
          <w:ilvl w:val="3"/>
          <w:numId w:val="1"/>
        </w:numPr>
        <w:spacing w:after="240"/>
        <w:jc w:val="both"/>
        <w:rPr>
          <w:b/>
          <w:bCs/>
          <w:caps/>
          <w:u w:val="single"/>
        </w:rPr>
      </w:pPr>
      <w:r w:rsidRPr="005B2B93">
        <w:rPr>
          <w:b/>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3" w:name="_Toc489976879"/>
      <w:bookmarkStart w:id="34" w:name="IEPIRKUMA_LĪGUMS_6"/>
      <w:r w:rsidRPr="00A66533">
        <w:rPr>
          <w:caps/>
        </w:rPr>
        <w:t>Iepirkuma līgums</w:t>
      </w:r>
      <w:bookmarkEnd w:id="33"/>
    </w:p>
    <w:bookmarkEnd w:id="34"/>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 xml:space="preserve">15 dienas pēc 6.2.1. punktā minētās informācijas nosūtīšanas dienas, ja kaut vienam </w:t>
      </w:r>
      <w:r w:rsidRPr="00A66533">
        <w:lastRenderedPageBreak/>
        <w:t>pretendentam tā nosūtīta pa pastu, un papildus viena darbdiena.</w:t>
      </w:r>
    </w:p>
    <w:p w:rsidR="00B95A2A" w:rsidRPr="00A66533" w:rsidRDefault="005B2B93" w:rsidP="00617B2B">
      <w:pPr>
        <w:numPr>
          <w:ilvl w:val="2"/>
          <w:numId w:val="1"/>
        </w:numPr>
        <w:spacing w:after="240"/>
        <w:jc w:val="both"/>
        <w:rPr>
          <w:b/>
        </w:rPr>
      </w:pPr>
      <w:r w:rsidRPr="005B2B93">
        <w:t xml:space="preserve">Ja šā </w:t>
      </w:r>
      <w:r>
        <w:t>6.2.</w:t>
      </w:r>
      <w:r w:rsidR="004B1C33">
        <w:t>1</w:t>
      </w:r>
      <w:r w:rsidRPr="005B2B93">
        <w:t xml:space="preserve">.punktā minētā desmitā diena un </w:t>
      </w:r>
      <w:r>
        <w:t>6.</w:t>
      </w:r>
      <w:r w:rsidRPr="005B2B93">
        <w:t>2.</w:t>
      </w:r>
      <w:r>
        <w:t>2.</w:t>
      </w:r>
      <w:r w:rsidRPr="005B2B93">
        <w:t>punktā minētā piecpadsmitā diena ir sestdiena, svētdiena vai likumā noteikta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5" w:name="_Toc489976880"/>
      <w:bookmarkStart w:id="36" w:name="IEPIRKUMA_KOMISIJAS_TIES_PIEN_7"/>
      <w:r w:rsidRPr="00A66533">
        <w:rPr>
          <w:caps/>
        </w:rPr>
        <w:t>Iepirkuma komisijas tiesības un pienākumi</w:t>
      </w:r>
      <w:bookmarkEnd w:id="35"/>
    </w:p>
    <w:bookmarkEnd w:id="36"/>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konkursu,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saimnieciski 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kvalifikācijas atbilstības pārbaudi tikai tam 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 xml:space="preserve">Pēc ieinteresēto personu pieprasījuma sniegt informāciju un atbildēt uz Pretendentu </w:t>
      </w:r>
      <w:r w:rsidRPr="00A66533">
        <w:lastRenderedPageBreak/>
        <w:t>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Triju darba dienu laikā pēc lēmuma pieņemšanas par iepirkuma līguma slēgšanu vai lēmuma izbeigt konkursu,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pasūtītājs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7" w:name="_Toc489976881"/>
      <w:bookmarkStart w:id="38" w:name="PRETENDENTA_TIES_PIEN_8"/>
      <w:r w:rsidRPr="00A66533">
        <w:rPr>
          <w:caps/>
        </w:rPr>
        <w:t>Pretendenta tiesības un pienākumi</w:t>
      </w:r>
      <w:bookmarkEnd w:id="37"/>
    </w:p>
    <w:bookmarkEnd w:id="38"/>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lastRenderedPageBreak/>
        <w:t>Pretendentam ir tiesības pārsūdzēt Iepirkumu uzraudzības birojā iepirkuma komisijas pieņemto lēmumu, pamatojoties u</w:t>
      </w:r>
      <w:r w:rsidR="00110073">
        <w:t>z „Publisko iepirkuma likuma” 68</w:t>
      </w:r>
      <w:r w:rsidRPr="00A66533">
        <w:t>.pantu (Līdz 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39" w:name="_Toc475705942"/>
      <w:bookmarkStart w:id="40" w:name="_Toc489976882"/>
      <w:r>
        <w:rPr>
          <w:caps/>
        </w:rPr>
        <w:t xml:space="preserve">Apakšuzņēmēji un to veicamo </w:t>
      </w:r>
      <w:r w:rsidR="00E7621D" w:rsidRPr="00882638">
        <w:rPr>
          <w:caps/>
        </w:rPr>
        <w:t>darbu apjoms</w:t>
      </w:r>
      <w:bookmarkEnd w:id="39"/>
      <w:bookmarkEnd w:id="4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t xml:space="preserve"> </w:t>
      </w:r>
      <w:r w:rsidRPr="00882638">
        <w:rPr>
          <w:b/>
        </w:rPr>
        <w:t>Apakšuzņēmēja veicamo būvdarbu vai sniedzamo pakalpojumu kopējā vērtība</w:t>
      </w:r>
    </w:p>
    <w:p w:rsidR="00A54BC4" w:rsidRPr="00110073" w:rsidRDefault="001E6DCE" w:rsidP="00110073">
      <w:pPr>
        <w:numPr>
          <w:ilvl w:val="2"/>
          <w:numId w:val="1"/>
        </w:numPr>
        <w:spacing w:after="240"/>
        <w:jc w:val="both"/>
        <w:rPr>
          <w:b/>
          <w:caps/>
        </w:rPr>
      </w:pPr>
      <w:r>
        <w:t>Saskaņā ar PIL 63.panta trešo daļu a</w:t>
      </w:r>
      <w:r w:rsidR="00E7621D" w:rsidRPr="00882638">
        <w:t xml:space="preserve">pakšuzņēmēja veicamo būvdarbu vai sniedzamo pakalpojumu kopējo vērtību nosaka, ņemot vērā apakšuzņēmēja un visu attiecīgā iepirkuma ietvaros tā saistīto uzņēmumu veicamo būvdarbu vai sniedzamo pakalpojumu vērtību. </w:t>
      </w:r>
      <w:r>
        <w:t>P</w:t>
      </w:r>
      <w:r w:rsidRPr="001E6DCE">
        <w:t xml:space="preserve">ar saistīto uzņēmumu uzskata kapitālsabiedrību, kurā saskaņā ar koncerna statusu nosakošajiem normatīvajiem aktiem apakšuzņēmējam ir izšķirošā ietekme vai kurai ir izšķirošā ietekme apakšuzņēmējā, vai kapitālsabiedrību, kurā izšķirošā ietekme ir </w:t>
      </w:r>
      <w:r w:rsidRPr="001E6DCE">
        <w:lastRenderedPageBreak/>
        <w:t>citai kapitālsabiedrībai, kurai vienlaikus ir izšķirošā ietekme attiecīgajā apakšuzņēmējā</w:t>
      </w:r>
      <w:r w:rsidR="00E7621D" w:rsidRPr="00882638">
        <w:t>.</w:t>
      </w:r>
    </w:p>
    <w:p w:rsidR="00E7621D" w:rsidRDefault="00E7621D" w:rsidP="00E7621D">
      <w:pPr>
        <w:ind w:left="360"/>
        <w:jc w:val="both"/>
      </w:pPr>
    </w:p>
    <w:p w:rsidR="00E7621D" w:rsidRPr="00A66533" w:rsidRDefault="00E7621D" w:rsidP="00E7621D">
      <w:pPr>
        <w:ind w:left="360"/>
        <w:jc w:val="both"/>
        <w:rPr>
          <w:b/>
          <w:caps/>
        </w:rPr>
      </w:pP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1" w:name="_Toc313875853"/>
      <w:bookmarkStart w:id="42" w:name="_Toc489976883"/>
      <w:bookmarkStart w:id="43" w:name="TEHNISKĀS_SPECIFIKĀCIJAS_II"/>
      <w:r w:rsidRPr="00A66533">
        <w:rPr>
          <w:rFonts w:ascii="Times New Roman" w:hAnsi="Times New Roman" w:cs="Times New Roman"/>
          <w:lang w:val="lv-LV"/>
        </w:rPr>
        <w:t>TEHNISKĀS  SPECIFIKĀCIJAS</w:t>
      </w:r>
      <w:bookmarkEnd w:id="41"/>
      <w:bookmarkEnd w:id="42"/>
    </w:p>
    <w:bookmarkEnd w:id="4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4" w:name="_Toc313875854"/>
      <w:bookmarkStart w:id="45" w:name="_Toc489976884"/>
      <w:bookmarkStart w:id="46" w:name="VISPĀRĒJA_INFORMĀCIJA_II_1"/>
      <w:r w:rsidRPr="00A66533">
        <w:lastRenderedPageBreak/>
        <w:t>VISPĀRĒJA INFORMĀCIJA</w:t>
      </w:r>
      <w:bookmarkEnd w:id="44"/>
      <w:bookmarkEnd w:id="45"/>
    </w:p>
    <w:bookmarkEnd w:id="46"/>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 xml:space="preserve">institūts vēlas iegādāties </w:t>
      </w:r>
      <w:r w:rsidR="000803B3">
        <w:t>aparatūru dažādiem pētījumiem farmakoloģijā</w:t>
      </w:r>
      <w:r w:rsidRPr="00E97B17">
        <w:t xml:space="preserve"> </w:t>
      </w:r>
      <w:r w:rsidR="000803B3" w:rsidRPr="000803B3">
        <w:t>Eiropas reģionālās attīstības fonda (turpmāk-ERAF) darbības progra</w:t>
      </w:r>
      <w:r w:rsidR="000803B3">
        <w:t>mmas „Izaugsme un nodarbinātība”</w:t>
      </w:r>
      <w:r w:rsidR="000803B3" w:rsidRPr="000803B3">
        <w:t xml:space="preserve"> 1.</w:t>
      </w:r>
      <w:r w:rsidR="000803B3">
        <w:t>1.1. specifiskā atbalsta mērķa „</w:t>
      </w:r>
      <w:r w:rsidR="000803B3" w:rsidRPr="000803B3">
        <w:t>Palielināt Latvijas zinātnisko institūciju pētniecisko un inovatīvo kapacitāti un spēju piesaistīt ārējo finansējumu, ieguldot cilvēkresursos un inf</w:t>
      </w:r>
      <w:r w:rsidR="000803B3">
        <w:t>rastruktūrā” 1.1.1.4. pasākuma „</w:t>
      </w:r>
      <w:r w:rsidR="000803B3" w:rsidRPr="000803B3">
        <w:t>P&amp;A infrastruktūras attīstīšana viedās specializācijas jomās un zinātnisko institūciju instituci</w:t>
      </w:r>
      <w:r w:rsidR="000803B3">
        <w:t>onālās kapacitātes stiprināšana”</w:t>
      </w:r>
      <w:r w:rsidR="000803B3" w:rsidRPr="000803B3">
        <w:t xml:space="preserve"> projekta</w:t>
      </w:r>
      <w:r w:rsidR="00E97B17" w:rsidRPr="00E97B17">
        <w:t xml:space="preserve"> </w:t>
      </w:r>
      <w:r w:rsidRPr="00E97B17">
        <w:t>ietvaros.</w:t>
      </w:r>
    </w:p>
    <w:p w:rsidR="00633302" w:rsidRPr="00E97B17" w:rsidRDefault="00633302" w:rsidP="00633302">
      <w:pPr>
        <w:jc w:val="both"/>
      </w:pPr>
    </w:p>
    <w:p w:rsidR="00633302" w:rsidRDefault="00633302" w:rsidP="00633302">
      <w:pPr>
        <w:jc w:val="both"/>
      </w:pPr>
      <w:r w:rsidRPr="00E97B17">
        <w:t xml:space="preserve">Piegādātājam ir jāveic </w:t>
      </w:r>
      <w:r w:rsidR="000C18E7">
        <w:t>preču</w:t>
      </w:r>
      <w:r w:rsidRPr="00E97B17">
        <w:t xml:space="preserve">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w:t>
      </w:r>
      <w:r w:rsidR="000C18E7">
        <w:t>, iepriekš nelietotu</w:t>
      </w:r>
      <w:r>
        <w:t xml:space="preserve"> </w:t>
      </w:r>
      <w:r w:rsidR="000C18E7">
        <w:t>preču</w:t>
      </w:r>
      <w:r>
        <w:t xml:space="preserve">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0B4A20" w:rsidP="00633302">
      <w:pPr>
        <w:jc w:val="both"/>
      </w:pPr>
      <w:r>
        <w:t xml:space="preserve">Preču </w:t>
      </w:r>
      <w:r w:rsidR="00633302">
        <w:t>garantijas laikam jābūt vismaz 2 (divi) gadi,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E139E9" w:rsidP="00633302">
      <w:pPr>
        <w:jc w:val="both"/>
      </w:pPr>
      <w:r>
        <w:t>Preču</w:t>
      </w:r>
      <w:r w:rsidR="00633302">
        <w:t xml:space="preserve">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2B2F04" w:rsidRDefault="002B2F04" w:rsidP="00110073">
      <w:pPr>
        <w:jc w:val="both"/>
      </w:pPr>
    </w:p>
    <w:p w:rsidR="008D14B6" w:rsidRPr="00CF6C2F" w:rsidRDefault="002B2F04" w:rsidP="00110073">
      <w:pPr>
        <w:jc w:val="both"/>
      </w:pPr>
      <w:r>
        <w:tab/>
      </w:r>
      <w:r w:rsidR="008D14B6" w:rsidRPr="00CF6C2F">
        <w:br w:type="page"/>
      </w: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47" w:name="_Toc489976885"/>
      <w:r w:rsidRPr="00DE1765">
        <w:rPr>
          <w:sz w:val="28"/>
          <w:szCs w:val="28"/>
        </w:rPr>
        <w:t>TEHNISKĀS SPECIFIKĀCIJAS</w:t>
      </w:r>
      <w:bookmarkEnd w:id="47"/>
    </w:p>
    <w:p w:rsidR="002317F3" w:rsidRDefault="002317F3">
      <w:pPr>
        <w:widowControl/>
        <w:rPr>
          <w:b/>
        </w:rPr>
      </w:pPr>
    </w:p>
    <w:p w:rsidR="002B2F04" w:rsidRDefault="002B2F04">
      <w:pPr>
        <w:widowControl/>
        <w:rPr>
          <w:b/>
        </w:rPr>
      </w:pPr>
    </w:p>
    <w:p w:rsidR="00B56C78" w:rsidRDefault="00B56C78">
      <w:pPr>
        <w:widowControl/>
        <w:rPr>
          <w:b/>
        </w:rPr>
      </w:pPr>
    </w:p>
    <w:p w:rsidR="005A5F92" w:rsidRPr="005A5F92" w:rsidRDefault="005A5F92" w:rsidP="00237B7B">
      <w:pPr>
        <w:pStyle w:val="ListParagraph"/>
        <w:widowControl/>
        <w:numPr>
          <w:ilvl w:val="0"/>
          <w:numId w:val="25"/>
        </w:numPr>
        <w:jc w:val="center"/>
        <w:outlineLvl w:val="1"/>
        <w:rPr>
          <w:b/>
          <w:sz w:val="28"/>
          <w:szCs w:val="28"/>
          <w:highlight w:val="yellow"/>
        </w:rPr>
      </w:pPr>
      <w:bookmarkStart w:id="48" w:name="_Toc489976886"/>
      <w:r w:rsidRPr="005A5F92">
        <w:rPr>
          <w:b/>
          <w:sz w:val="28"/>
          <w:szCs w:val="28"/>
          <w:highlight w:val="yellow"/>
        </w:rPr>
        <w:t>Lote</w:t>
      </w:r>
      <w:bookmarkEnd w:id="48"/>
    </w:p>
    <w:p w:rsidR="002B2F04" w:rsidRPr="004B3512" w:rsidRDefault="002B2F04" w:rsidP="00237B7B">
      <w:pPr>
        <w:keepNext/>
        <w:suppressAutoHyphens/>
        <w:spacing w:after="120"/>
        <w:jc w:val="center"/>
        <w:outlineLvl w:val="1"/>
        <w:rPr>
          <w:b/>
          <w:sz w:val="28"/>
        </w:rPr>
      </w:pPr>
      <w:bookmarkStart w:id="49" w:name="_Toc489447236"/>
      <w:bookmarkStart w:id="50" w:name="_Toc489976887"/>
      <w:r w:rsidRPr="004B3512">
        <w:rPr>
          <w:b/>
          <w:sz w:val="28"/>
        </w:rPr>
        <w:t xml:space="preserve">Plūsmas </w:t>
      </w:r>
      <w:proofErr w:type="spellStart"/>
      <w:r w:rsidRPr="004B3512">
        <w:rPr>
          <w:b/>
          <w:sz w:val="28"/>
        </w:rPr>
        <w:t>citometrs</w:t>
      </w:r>
      <w:proofErr w:type="spellEnd"/>
      <w:r w:rsidRPr="004B3512">
        <w:rPr>
          <w:b/>
          <w:sz w:val="28"/>
        </w:rPr>
        <w:t xml:space="preserve"> un šķirotājs</w:t>
      </w:r>
      <w:bookmarkEnd w:id="49"/>
      <w:bookmarkEnd w:id="50"/>
    </w:p>
    <w:p w:rsidR="002B2F04" w:rsidRDefault="002B2F04" w:rsidP="002B2F04">
      <w:pPr>
        <w:suppressAutoHyphens/>
        <w:spacing w:after="240"/>
        <w:jc w:val="both"/>
      </w:pPr>
    </w:p>
    <w:p w:rsidR="002B2F04" w:rsidRDefault="002B2F04" w:rsidP="002B2F04">
      <w:pPr>
        <w:suppressAutoHyphens/>
        <w:spacing w:after="240"/>
        <w:jc w:val="both"/>
      </w:pPr>
      <w:r>
        <w:t xml:space="preserve">Plūsmas </w:t>
      </w:r>
      <w:proofErr w:type="spellStart"/>
      <w:r>
        <w:t>citometrs</w:t>
      </w:r>
      <w:proofErr w:type="spellEnd"/>
      <w:r>
        <w:t xml:space="preserve"> ir iekārta, kas ar augstu precizitāti spēj analizēt un sašķirot individuālas šūnas. Ar iekārtas palīdzību īsā laika posmā var atlasīt viendabīgu šūnu populāciju ar nepieciešamajām īpašībām  piem., konkrēta proteīna ekspresiju, vienu šūnas dzīves cikla fāzi, kā arī konkrētu šūnu tipu, piem., </w:t>
      </w:r>
      <w:proofErr w:type="spellStart"/>
      <w:r>
        <w:t>muskuļšūnas</w:t>
      </w:r>
      <w:proofErr w:type="spellEnd"/>
      <w:r>
        <w:t xml:space="preserve">, cilmes šūnas, audzēja šūnas, utt.. Ar plūsmas </w:t>
      </w:r>
      <w:proofErr w:type="spellStart"/>
      <w:r>
        <w:t>citometru</w:t>
      </w:r>
      <w:proofErr w:type="spellEnd"/>
      <w:r>
        <w:t xml:space="preserve"> iespējams analizēt arī izmaiņas šūnu populācijās gan šūnu kultūrās, gan audos.</w:t>
      </w:r>
    </w:p>
    <w:p w:rsidR="002B2F04" w:rsidRDefault="002B2F04" w:rsidP="002B2F04">
      <w:pPr>
        <w:suppressAutoHyphens/>
        <w:spacing w:after="240"/>
        <w:jc w:val="both"/>
      </w:pPr>
    </w:p>
    <w:p w:rsidR="002B2F04" w:rsidRDefault="002B2F04" w:rsidP="002B2F04">
      <w:pPr>
        <w:suppressAutoHyphens/>
        <w:spacing w:after="240"/>
        <w:jc w:val="both"/>
      </w:pPr>
      <w:r>
        <w:t>Iekārtai pilnībā jāatbilst vismaz sekojošiem standartiem un direktīvām: IEC 61010, IEC 60825.</w:t>
      </w:r>
    </w:p>
    <w:p w:rsidR="00241588" w:rsidRDefault="00241588" w:rsidP="00241588">
      <w:pPr>
        <w:widowControl/>
        <w:suppressAutoHyphens/>
        <w:rPr>
          <w:b/>
        </w:rPr>
      </w:pPr>
    </w:p>
    <w:p w:rsidR="002B2F04" w:rsidRDefault="002B2F04" w:rsidP="00241588">
      <w:pPr>
        <w:widowControl/>
        <w:suppressAutoHyphens/>
        <w:rPr>
          <w:b/>
        </w:rPr>
      </w:pPr>
      <w:r>
        <w:rPr>
          <w:b/>
        </w:rPr>
        <w:t xml:space="preserve">IEPIRKUMA OBJEKTA APRAKSTS </w:t>
      </w:r>
    </w:p>
    <w:p w:rsidR="00241588" w:rsidRDefault="00241588" w:rsidP="002B2F04">
      <w:pPr>
        <w:suppressAutoHyphens/>
        <w:spacing w:before="120" w:after="120"/>
        <w:jc w:val="both"/>
      </w:pPr>
    </w:p>
    <w:p w:rsidR="002B2F04" w:rsidRDefault="002B2F04" w:rsidP="002B2F04">
      <w:pPr>
        <w:suppressAutoHyphens/>
        <w:spacing w:before="120" w:after="120"/>
        <w:jc w:val="both"/>
      </w:pPr>
      <w:r>
        <w:t xml:space="preserve">Šūnu </w:t>
      </w:r>
      <w:proofErr w:type="spellStart"/>
      <w:r>
        <w:t>sotrierim</w:t>
      </w:r>
      <w:proofErr w:type="spellEnd"/>
      <w:r>
        <w:t xml:space="preserve"> jāatbilst sekojošām prasībām:</w:t>
      </w:r>
    </w:p>
    <w:tbl>
      <w:tblPr>
        <w:tblW w:w="8657"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905"/>
        <w:gridCol w:w="6956"/>
      </w:tblGrid>
      <w:tr w:rsidR="002B2F04" w:rsidTr="005E3DC2">
        <w:trPr>
          <w:trHeight w:val="1"/>
        </w:trPr>
        <w:tc>
          <w:tcPr>
            <w:tcW w:w="171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rsidR="002B2F04" w:rsidRDefault="002B2F04" w:rsidP="005E3DC2">
            <w:pPr>
              <w:suppressAutoHyphens/>
              <w:jc w:val="center"/>
            </w:pPr>
            <w:r>
              <w:rPr>
                <w:b/>
                <w:i/>
              </w:rPr>
              <w:t>Pozīcija</w:t>
            </w:r>
          </w:p>
        </w:tc>
        <w:tc>
          <w:tcPr>
            <w:tcW w:w="694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rsidR="002B2F04" w:rsidRDefault="002B2F04" w:rsidP="005E3DC2">
            <w:pPr>
              <w:suppressAutoHyphens/>
              <w:jc w:val="center"/>
            </w:pPr>
            <w:r>
              <w:rPr>
                <w:b/>
                <w:i/>
              </w:rPr>
              <w:t>Apraksts/Prasības</w:t>
            </w:r>
          </w:p>
        </w:tc>
      </w:tr>
      <w:tr w:rsidR="002B2F04" w:rsidTr="005E3DC2">
        <w:trPr>
          <w:trHeight w:val="1"/>
        </w:trPr>
        <w:tc>
          <w:tcPr>
            <w:tcW w:w="171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5E3DC2" w:rsidRDefault="005E3DC2" w:rsidP="005E3DC2">
            <w:pPr>
              <w:suppressAutoHyphens/>
            </w:pPr>
          </w:p>
          <w:p w:rsidR="002B2F04" w:rsidRDefault="002B2F04" w:rsidP="005E3DC2">
            <w:pPr>
              <w:suppressAutoHyphens/>
            </w:pPr>
            <w:r>
              <w:t>Novietojums</w:t>
            </w:r>
          </w:p>
        </w:tc>
        <w:tc>
          <w:tcPr>
            <w:tcW w:w="694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5E3DC2" w:rsidRDefault="005E3DC2" w:rsidP="005E3DC2">
            <w:pPr>
              <w:suppressAutoHyphens/>
            </w:pPr>
          </w:p>
          <w:p w:rsidR="002B2F04" w:rsidRDefault="002B2F04" w:rsidP="005E3DC2">
            <w:pPr>
              <w:suppressAutoHyphens/>
            </w:pPr>
            <w:r>
              <w:t>Brīvi stāvošs, var novietot uz galda. Sastāv no divām atsevišķām daļām: šūnu šķirotāja un elektronikas daļas.</w:t>
            </w:r>
          </w:p>
        </w:tc>
      </w:tr>
      <w:tr w:rsidR="002B2F04" w:rsidTr="005E3DC2">
        <w:trPr>
          <w:trHeight w:val="1"/>
        </w:trPr>
        <w:tc>
          <w:tcPr>
            <w:tcW w:w="171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pPr>
            <w:proofErr w:type="spellStart"/>
            <w:r>
              <w:t>Sortiera</w:t>
            </w:r>
            <w:proofErr w:type="spellEnd"/>
            <w:r>
              <w:t xml:space="preserve"> izmēri</w:t>
            </w:r>
          </w:p>
        </w:tc>
        <w:tc>
          <w:tcPr>
            <w:tcW w:w="694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pPr>
            <w:r>
              <w:t>Šūnu šķirotāja izmēri, ne lielāki kā:</w:t>
            </w:r>
          </w:p>
          <w:p w:rsidR="002B2F04" w:rsidRDefault="002B2F04" w:rsidP="002B2F04">
            <w:pPr>
              <w:widowControl/>
              <w:numPr>
                <w:ilvl w:val="0"/>
                <w:numId w:val="28"/>
              </w:numPr>
              <w:ind w:left="402"/>
            </w:pPr>
            <w:r>
              <w:t xml:space="preserve">platums 500 mm, </w:t>
            </w:r>
          </w:p>
          <w:p w:rsidR="002B2F04" w:rsidRDefault="002B2F04" w:rsidP="002B2F04">
            <w:pPr>
              <w:widowControl/>
              <w:numPr>
                <w:ilvl w:val="0"/>
                <w:numId w:val="28"/>
              </w:numPr>
              <w:ind w:left="402"/>
            </w:pPr>
            <w:r>
              <w:t xml:space="preserve">augstums 500 mm, </w:t>
            </w:r>
          </w:p>
          <w:p w:rsidR="002B2F04" w:rsidRDefault="002B2F04" w:rsidP="002B2F04">
            <w:pPr>
              <w:widowControl/>
              <w:numPr>
                <w:ilvl w:val="0"/>
                <w:numId w:val="28"/>
              </w:numPr>
              <w:ind w:left="402"/>
            </w:pPr>
            <w:r>
              <w:t>garums 600 mm.</w:t>
            </w:r>
          </w:p>
          <w:p w:rsidR="002B2F04" w:rsidRDefault="002B2F04" w:rsidP="005E3DC2">
            <w:pPr>
              <w:ind w:left="-2"/>
            </w:pPr>
            <w:r>
              <w:t xml:space="preserve">Šūnu šķirotāja daļas svaram jābūt ne lielākam </w:t>
            </w:r>
            <w:r w:rsidRPr="002B2F04">
              <w:t>kā 45 kg</w:t>
            </w:r>
            <w:r>
              <w:t>.</w:t>
            </w:r>
          </w:p>
        </w:tc>
      </w:tr>
      <w:tr w:rsidR="002B2F04" w:rsidTr="005E3DC2">
        <w:trPr>
          <w:trHeight w:val="1"/>
        </w:trPr>
        <w:tc>
          <w:tcPr>
            <w:tcW w:w="171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pPr>
            <w:r>
              <w:t xml:space="preserve">Plūsmas </w:t>
            </w:r>
            <w:proofErr w:type="spellStart"/>
            <w:r>
              <w:t>citometrs</w:t>
            </w:r>
            <w:proofErr w:type="spellEnd"/>
            <w:r>
              <w:t xml:space="preserve"> un tā tehniskie parametri</w:t>
            </w:r>
          </w:p>
        </w:tc>
        <w:tc>
          <w:tcPr>
            <w:tcW w:w="694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spacing w:after="240"/>
              <w:ind w:left="-2"/>
            </w:pPr>
            <w:r>
              <w:t xml:space="preserve">Plūsmas </w:t>
            </w:r>
            <w:proofErr w:type="spellStart"/>
            <w:r>
              <w:t>citometram-sortierim</w:t>
            </w:r>
            <w:proofErr w:type="spellEnd"/>
            <w:r>
              <w:t xml:space="preserve"> jāatbilst sekojošām prasībām:</w:t>
            </w:r>
          </w:p>
          <w:p w:rsidR="002B2F04" w:rsidRDefault="002B2F04" w:rsidP="002B2F04">
            <w:pPr>
              <w:widowControl/>
              <w:numPr>
                <w:ilvl w:val="0"/>
                <w:numId w:val="29"/>
              </w:numPr>
              <w:ind w:left="358"/>
            </w:pPr>
            <w:r>
              <w:t xml:space="preserve">Iekārtas iestatīšanai, ieskaitot iekšējo </w:t>
            </w:r>
            <w:proofErr w:type="spellStart"/>
            <w:r>
              <w:t>kalibrāciju</w:t>
            </w:r>
            <w:proofErr w:type="spellEnd"/>
            <w:r>
              <w:t xml:space="preserve"> ir jābūt ne ilgākai par </w:t>
            </w:r>
            <w:proofErr w:type="spellStart"/>
            <w:r>
              <w:t>par</w:t>
            </w:r>
            <w:proofErr w:type="spellEnd"/>
            <w:r>
              <w:t xml:space="preserve"> 20 minūtēm;</w:t>
            </w:r>
          </w:p>
          <w:p w:rsidR="002B2F04" w:rsidRDefault="002B2F04" w:rsidP="002B2F04">
            <w:pPr>
              <w:widowControl/>
              <w:numPr>
                <w:ilvl w:val="0"/>
                <w:numId w:val="29"/>
              </w:numPr>
              <w:ind w:left="358"/>
            </w:pPr>
            <w:r>
              <w:t>Šķirošanas uzgaļa maiņa un sekojoša plūsmas normalizēšana neizņem vairāk par 3 minūtēm;</w:t>
            </w:r>
          </w:p>
          <w:p w:rsidR="002B2F04" w:rsidRDefault="002B2F04" w:rsidP="002B2F04">
            <w:pPr>
              <w:widowControl/>
              <w:numPr>
                <w:ilvl w:val="0"/>
                <w:numId w:val="29"/>
              </w:numPr>
              <w:ind w:left="358"/>
            </w:pPr>
            <w:r>
              <w:t xml:space="preserve">Iekārtā starp kvarca kiveti un objektīvu jābūt </w:t>
            </w:r>
            <w:proofErr w:type="spellStart"/>
            <w:r>
              <w:t>gelam</w:t>
            </w:r>
            <w:proofErr w:type="spellEnd"/>
            <w:r>
              <w:t>, kura gaismas laušanas īpašības nodrošina optimālu gaismas pārvadi bez izkliedes u.c. kropļojumiem.</w:t>
            </w:r>
          </w:p>
          <w:p w:rsidR="002B2F04" w:rsidRDefault="002B2F04" w:rsidP="002B2F04">
            <w:pPr>
              <w:widowControl/>
              <w:numPr>
                <w:ilvl w:val="0"/>
                <w:numId w:val="29"/>
              </w:numPr>
              <w:ind w:left="358"/>
            </w:pPr>
            <w:r>
              <w:t xml:space="preserve">Iekārta aprīkota ar 488 nm zilās gaismas lāzeri ar nominālo jaudu vismaz 16 </w:t>
            </w:r>
            <w:proofErr w:type="spellStart"/>
            <w:r>
              <w:t>mW</w:t>
            </w:r>
            <w:proofErr w:type="spellEnd"/>
            <w:r>
              <w:t>;</w:t>
            </w:r>
          </w:p>
          <w:p w:rsidR="002B2F04" w:rsidRDefault="002B2F04" w:rsidP="002B2F04">
            <w:pPr>
              <w:widowControl/>
              <w:numPr>
                <w:ilvl w:val="0"/>
                <w:numId w:val="29"/>
              </w:numPr>
              <w:ind w:left="358"/>
            </w:pPr>
            <w:r>
              <w:t xml:space="preserve">Iekārta aprīkota ar 640 nm sarkanās gaismas lāzeri ar nominālo jaudu vismaz 36 </w:t>
            </w:r>
            <w:proofErr w:type="spellStart"/>
            <w:r>
              <w:t>mW</w:t>
            </w:r>
            <w:proofErr w:type="spellEnd"/>
            <w:r>
              <w:t>;</w:t>
            </w:r>
          </w:p>
          <w:p w:rsidR="002B2F04" w:rsidRDefault="002B2F04" w:rsidP="002B2F04">
            <w:pPr>
              <w:widowControl/>
              <w:numPr>
                <w:ilvl w:val="0"/>
                <w:numId w:val="29"/>
              </w:numPr>
              <w:ind w:left="358"/>
            </w:pPr>
            <w:r>
              <w:t>Jābūt iespējai detektēt gaismas priekšējo un sānu izkliedi (</w:t>
            </w:r>
            <w:proofErr w:type="spellStart"/>
            <w:r>
              <w:rPr>
                <w:i/>
              </w:rPr>
              <w:t>forward</w:t>
            </w:r>
            <w:proofErr w:type="spellEnd"/>
            <w:r>
              <w:rPr>
                <w:i/>
              </w:rPr>
              <w:t xml:space="preserve"> </w:t>
            </w:r>
            <w:proofErr w:type="spellStart"/>
            <w:r>
              <w:rPr>
                <w:i/>
              </w:rPr>
              <w:t>scatter</w:t>
            </w:r>
            <w:proofErr w:type="spellEnd"/>
            <w:r>
              <w:rPr>
                <w:i/>
              </w:rPr>
              <w:t xml:space="preserve">, </w:t>
            </w:r>
            <w:proofErr w:type="spellStart"/>
            <w:r>
              <w:rPr>
                <w:i/>
              </w:rPr>
              <w:t>side</w:t>
            </w:r>
            <w:proofErr w:type="spellEnd"/>
            <w:r>
              <w:rPr>
                <w:i/>
              </w:rPr>
              <w:t xml:space="preserve"> </w:t>
            </w:r>
            <w:proofErr w:type="spellStart"/>
            <w:r>
              <w:rPr>
                <w:i/>
              </w:rPr>
              <w:t>scatter</w:t>
            </w:r>
            <w:proofErr w:type="spellEnd"/>
            <w:r>
              <w:t xml:space="preserve">), kā arī jānodrošina līdz pat 6 </w:t>
            </w:r>
            <w:proofErr w:type="spellStart"/>
            <w:r>
              <w:t>fluoroforu</w:t>
            </w:r>
            <w:proofErr w:type="spellEnd"/>
            <w:r>
              <w:t xml:space="preserve"> vienlaicīgu detektēšanu;</w:t>
            </w:r>
          </w:p>
          <w:p w:rsidR="002B2F04" w:rsidRDefault="002B2F04" w:rsidP="002B2F04">
            <w:pPr>
              <w:widowControl/>
              <w:numPr>
                <w:ilvl w:val="0"/>
                <w:numId w:val="29"/>
              </w:numPr>
              <w:ind w:left="358"/>
            </w:pPr>
            <w:r>
              <w:lastRenderedPageBreak/>
              <w:t xml:space="preserve">Fluorescences izšķirtspēja: cāļu eritrocītu standarta testā ar </w:t>
            </w:r>
            <w:proofErr w:type="spellStart"/>
            <w:r>
              <w:t>propīdija</w:t>
            </w:r>
            <w:proofErr w:type="spellEnd"/>
            <w:r>
              <w:t xml:space="preserve"> jodīdu visa pīķa koeficienta variācijai jābūt mazākai par 3%;</w:t>
            </w:r>
          </w:p>
          <w:p w:rsidR="002B2F04" w:rsidRDefault="002B2F04" w:rsidP="002B2F04">
            <w:pPr>
              <w:widowControl/>
              <w:numPr>
                <w:ilvl w:val="0"/>
                <w:numId w:val="29"/>
              </w:numPr>
              <w:ind w:left="358"/>
            </w:pPr>
            <w:r>
              <w:t>Fluorescences linearitāte: dupleta/</w:t>
            </w:r>
            <w:proofErr w:type="spellStart"/>
            <w:r>
              <w:t>singleta</w:t>
            </w:r>
            <w:proofErr w:type="spellEnd"/>
            <w:r>
              <w:t xml:space="preserve"> attiecībai cāļu eritrocītu standarta testā ar </w:t>
            </w:r>
            <w:proofErr w:type="spellStart"/>
            <w:r>
              <w:t>propīdija</w:t>
            </w:r>
            <w:proofErr w:type="spellEnd"/>
            <w:r>
              <w:t xml:space="preserve"> jodīdu jābūt robežās 1,95-2,05;</w:t>
            </w:r>
          </w:p>
          <w:p w:rsidR="002B2F04" w:rsidRDefault="002B2F04" w:rsidP="002B2F04">
            <w:pPr>
              <w:widowControl/>
              <w:numPr>
                <w:ilvl w:val="0"/>
                <w:numId w:val="29"/>
              </w:numPr>
              <w:ind w:left="358"/>
            </w:pPr>
            <w:r>
              <w:t xml:space="preserve">Priekšējās un sānu izkliedes detektēšanas jutībai jābūt pietiekamai, lai varētu atšķirt 0,5 </w:t>
            </w:r>
            <w:proofErr w:type="spellStart"/>
            <w:r>
              <w:t>pm</w:t>
            </w:r>
            <w:proofErr w:type="spellEnd"/>
            <w:r>
              <w:t xml:space="preserve"> daļiņas no trokšņa; </w:t>
            </w:r>
          </w:p>
          <w:p w:rsidR="002B2F04" w:rsidRDefault="002B2F04" w:rsidP="002B2F04">
            <w:pPr>
              <w:widowControl/>
              <w:numPr>
                <w:ilvl w:val="0"/>
                <w:numId w:val="29"/>
              </w:numPr>
              <w:ind w:left="358"/>
            </w:pPr>
            <w:r>
              <w:t xml:space="preserve">Priekšējās un sānu izkliedes detektēšanai jābūt optimizētai, lai varētu detektēt limfocītus, </w:t>
            </w:r>
            <w:proofErr w:type="spellStart"/>
            <w:r>
              <w:t>monocītus</w:t>
            </w:r>
            <w:proofErr w:type="spellEnd"/>
            <w:r>
              <w:t xml:space="preserve"> un </w:t>
            </w:r>
            <w:proofErr w:type="spellStart"/>
            <w:r>
              <w:t>granulocītus</w:t>
            </w:r>
            <w:proofErr w:type="spellEnd"/>
            <w:r>
              <w:t>;</w:t>
            </w:r>
          </w:p>
          <w:p w:rsidR="002B2F04" w:rsidRDefault="002B2F04" w:rsidP="002B2F04">
            <w:pPr>
              <w:widowControl/>
              <w:numPr>
                <w:ilvl w:val="0"/>
                <w:numId w:val="29"/>
              </w:numPr>
              <w:ind w:left="358"/>
            </w:pPr>
            <w:r>
              <w:t>Iekārtai jābūt iespējamai temperatūras kontrolei, kurā var iestatīt vismaz šādus temperatūras režīmus +4°C, +22°C, +37°C un +42°C.</w:t>
            </w:r>
          </w:p>
          <w:p w:rsidR="002B2F04" w:rsidRDefault="002B2F04" w:rsidP="002B2F04">
            <w:pPr>
              <w:widowControl/>
              <w:numPr>
                <w:ilvl w:val="0"/>
                <w:numId w:val="29"/>
              </w:numPr>
              <w:ind w:left="358"/>
            </w:pPr>
            <w:r>
              <w:t>Iespējams lietot 5 ml mēģenes;</w:t>
            </w:r>
          </w:p>
          <w:p w:rsidR="002B2F04" w:rsidRDefault="002B2F04" w:rsidP="002B2F04">
            <w:pPr>
              <w:widowControl/>
              <w:numPr>
                <w:ilvl w:val="0"/>
                <w:numId w:val="29"/>
              </w:numPr>
              <w:ind w:left="358"/>
            </w:pPr>
            <w:r>
              <w:t>Iespēja nepārtraukti maisīt paraugs, lai šūnas vai citas daļiņas būtu suspensijā;</w:t>
            </w:r>
          </w:p>
          <w:p w:rsidR="002B2F04" w:rsidRPr="00530F16" w:rsidRDefault="002B2F04" w:rsidP="005E3DC2">
            <w:pPr>
              <w:ind w:left="358"/>
            </w:pPr>
            <w:r>
              <w:t>Iekārtai jābūt automātiskās izslēgšanās funkcijai, brīdī, kad kivete ir tukša;</w:t>
            </w:r>
          </w:p>
        </w:tc>
      </w:tr>
      <w:tr w:rsidR="002B2F04" w:rsidTr="005E3DC2">
        <w:trPr>
          <w:trHeight w:val="1"/>
        </w:trPr>
        <w:tc>
          <w:tcPr>
            <w:tcW w:w="171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pPr>
            <w:r>
              <w:lastRenderedPageBreak/>
              <w:t xml:space="preserve">Minimālās prasības filtru komplektācijai </w:t>
            </w:r>
          </w:p>
          <w:p w:rsidR="002B2F04" w:rsidRDefault="002B2F04" w:rsidP="005E3DC2">
            <w:pPr>
              <w:suppressAutoHyphens/>
            </w:pPr>
            <w:r>
              <w:t>2 lāzeru sistēmai</w:t>
            </w:r>
          </w:p>
        </w:tc>
        <w:tc>
          <w:tcPr>
            <w:tcW w:w="694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r>
              <w:t xml:space="preserve">Iekārta jāpiegādā ar filtru un spoguļu komplektu, lai varētu detektēt vismaz sekojošus </w:t>
            </w:r>
            <w:proofErr w:type="spellStart"/>
            <w:r>
              <w:t>fluoroforus</w:t>
            </w:r>
            <w:proofErr w:type="spellEnd"/>
            <w:r>
              <w:t>:</w:t>
            </w:r>
          </w:p>
          <w:p w:rsidR="002B2F04" w:rsidRDefault="002B2F04" w:rsidP="005E3DC2"/>
          <w:tbl>
            <w:tblPr>
              <w:tblW w:w="67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tblPr>
            <w:tblGrid>
              <w:gridCol w:w="4422"/>
              <w:gridCol w:w="1135"/>
              <w:gridCol w:w="1178"/>
            </w:tblGrid>
            <w:tr w:rsidR="002B2F04" w:rsidTr="005E3DC2">
              <w:trPr>
                <w:trHeight w:val="288"/>
              </w:trPr>
              <w:tc>
                <w:tcPr>
                  <w:tcW w:w="44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rPr>
                      <w:rStyle w:val="Bodytext265pt"/>
                      <w:rFonts w:ascii="Times New Roman" w:hAnsi="Times New Roman" w:cs="Times New Roman"/>
                      <w:sz w:val="20"/>
                    </w:rPr>
                  </w:pPr>
                  <w:r>
                    <w:rPr>
                      <w:rStyle w:val="Bodytext265pt"/>
                      <w:rFonts w:ascii="Times New Roman" w:hAnsi="Times New Roman" w:cs="Times New Roman"/>
                      <w:b/>
                      <w:sz w:val="20"/>
                    </w:rPr>
                    <w:t xml:space="preserve">Detektējamais </w:t>
                  </w:r>
                  <w:proofErr w:type="spellStart"/>
                  <w:r>
                    <w:rPr>
                      <w:rStyle w:val="Bodytext265pt"/>
                      <w:rFonts w:ascii="Times New Roman" w:hAnsi="Times New Roman" w:cs="Times New Roman"/>
                      <w:b/>
                      <w:sz w:val="20"/>
                    </w:rPr>
                    <w:t>fluorofors</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jc w:val="center"/>
                    <w:rPr>
                      <w:rStyle w:val="Bodytext265pt"/>
                      <w:rFonts w:ascii="Times New Roman" w:hAnsi="Times New Roman" w:cs="Times New Roman"/>
                      <w:b/>
                      <w:sz w:val="20"/>
                    </w:rPr>
                  </w:pPr>
                  <w:r>
                    <w:rPr>
                      <w:rStyle w:val="Bodytext265pt"/>
                      <w:rFonts w:ascii="Times New Roman" w:hAnsi="Times New Roman" w:cs="Times New Roman"/>
                      <w:b/>
                      <w:sz w:val="20"/>
                    </w:rPr>
                    <w:t>Filtrs</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jc w:val="center"/>
                    <w:rPr>
                      <w:rStyle w:val="Bodytext265pt"/>
                      <w:rFonts w:ascii="Times New Roman" w:hAnsi="Times New Roman" w:cs="Times New Roman"/>
                      <w:b/>
                      <w:sz w:val="20"/>
                    </w:rPr>
                  </w:pPr>
                  <w:r>
                    <w:rPr>
                      <w:rStyle w:val="Bodytext265pt"/>
                      <w:rFonts w:ascii="Times New Roman" w:hAnsi="Times New Roman" w:cs="Times New Roman"/>
                      <w:b/>
                      <w:sz w:val="20"/>
                    </w:rPr>
                    <w:t>Spogulis</w:t>
                  </w:r>
                </w:p>
              </w:tc>
            </w:tr>
            <w:tr w:rsidR="002B2F04" w:rsidTr="005E3DC2">
              <w:trPr>
                <w:trHeight w:val="288"/>
              </w:trPr>
              <w:tc>
                <w:tcPr>
                  <w:tcW w:w="44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rPr>
                      <w:rStyle w:val="Bodytext265pt"/>
                      <w:rFonts w:ascii="Times New Roman" w:hAnsi="Times New Roman" w:cs="Times New Roman"/>
                      <w:sz w:val="20"/>
                    </w:rPr>
                  </w:pPr>
                  <w:r>
                    <w:rPr>
                      <w:rStyle w:val="Bodytext265pt"/>
                      <w:rFonts w:ascii="Times New Roman" w:hAnsi="Times New Roman" w:cs="Times New Roman"/>
                      <w:sz w:val="20"/>
                    </w:rPr>
                    <w:t>Sānu izkliede</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488/15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w:t>
                  </w:r>
                </w:p>
              </w:tc>
            </w:tr>
            <w:tr w:rsidR="002B2F04" w:rsidTr="005E3DC2">
              <w:trPr>
                <w:trHeight w:val="269"/>
              </w:trPr>
              <w:tc>
                <w:tcPr>
                  <w:tcW w:w="44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rPr>
                      <w:rStyle w:val="Bodytext265pt"/>
                      <w:rFonts w:ascii="Times New Roman" w:hAnsi="Times New Roman" w:cs="Times New Roman"/>
                      <w:sz w:val="20"/>
                    </w:rPr>
                  </w:pPr>
                  <w:r>
                    <w:rPr>
                      <w:rStyle w:val="Bodytext265pt"/>
                      <w:rFonts w:ascii="Times New Roman" w:hAnsi="Times New Roman" w:cs="Times New Roman"/>
                      <w:sz w:val="20"/>
                    </w:rPr>
                    <w:t xml:space="preserve">FITC, GFP, </w:t>
                  </w:r>
                  <w:proofErr w:type="spellStart"/>
                  <w:r>
                    <w:rPr>
                      <w:rStyle w:val="Bodytext265pt"/>
                      <w:rFonts w:ascii="Times New Roman" w:hAnsi="Times New Roman" w:cs="Times New Roman"/>
                      <w:sz w:val="20"/>
                    </w:rPr>
                    <w:t>Horizon</w:t>
                  </w:r>
                  <w:proofErr w:type="spellEnd"/>
                  <w:r>
                    <w:rPr>
                      <w:rStyle w:val="Bodytext265pt"/>
                      <w:rFonts w:ascii="Times New Roman" w:hAnsi="Times New Roman" w:cs="Times New Roman"/>
                      <w:sz w:val="20"/>
                    </w:rPr>
                    <w:t xml:space="preserve"> </w:t>
                  </w:r>
                  <w:proofErr w:type="spellStart"/>
                  <w:r>
                    <w:rPr>
                      <w:rStyle w:val="Bodytext265pt"/>
                      <w:rFonts w:ascii="Times New Roman" w:hAnsi="Times New Roman" w:cs="Times New Roman"/>
                      <w:sz w:val="20"/>
                    </w:rPr>
                    <w:t>Brilliant</w:t>
                  </w:r>
                  <w:proofErr w:type="spellEnd"/>
                  <w:r>
                    <w:rPr>
                      <w:rStyle w:val="Bodytext265pt"/>
                      <w:rFonts w:ascii="Times New Roman" w:hAnsi="Times New Roman" w:cs="Times New Roman"/>
                      <w:sz w:val="20"/>
                    </w:rPr>
                    <w:t xml:space="preserve"> </w:t>
                  </w:r>
                  <w:proofErr w:type="spellStart"/>
                  <w:r>
                    <w:rPr>
                      <w:rStyle w:val="Bodytext265pt"/>
                      <w:rFonts w:ascii="Times New Roman" w:hAnsi="Times New Roman" w:cs="Times New Roman"/>
                      <w:sz w:val="20"/>
                    </w:rPr>
                    <w:t>Blue</w:t>
                  </w:r>
                  <w:proofErr w:type="spellEnd"/>
                  <w:r>
                    <w:rPr>
                      <w:rStyle w:val="Bodytext265pt"/>
                      <w:rFonts w:ascii="Times New Roman" w:hAnsi="Times New Roman" w:cs="Times New Roman"/>
                      <w:sz w:val="20"/>
                    </w:rPr>
                    <w:t xml:space="preserve"> 515, </w:t>
                  </w:r>
                  <w:proofErr w:type="spellStart"/>
                  <w:r>
                    <w:rPr>
                      <w:rStyle w:val="Bodytext265pt"/>
                      <w:rFonts w:ascii="Times New Roman" w:hAnsi="Times New Roman" w:cs="Times New Roman"/>
                      <w:sz w:val="20"/>
                    </w:rPr>
                    <w:t>Alexa</w:t>
                  </w:r>
                  <w:proofErr w:type="spellEnd"/>
                  <w:r>
                    <w:rPr>
                      <w:rStyle w:val="Bodytext265pt"/>
                      <w:rFonts w:ascii="Times New Roman" w:hAnsi="Times New Roman" w:cs="Times New Roman"/>
                      <w:sz w:val="20"/>
                    </w:rPr>
                    <w:t xml:space="preserve"> </w:t>
                  </w:r>
                  <w:proofErr w:type="spellStart"/>
                  <w:r>
                    <w:rPr>
                      <w:rStyle w:val="Bodytext265pt"/>
                      <w:rFonts w:ascii="Times New Roman" w:hAnsi="Times New Roman" w:cs="Times New Roman"/>
                      <w:sz w:val="20"/>
                    </w:rPr>
                    <w:t>Fluor</w:t>
                  </w:r>
                  <w:proofErr w:type="spellEnd"/>
                  <w:r>
                    <w:rPr>
                      <w:rStyle w:val="Bodytext265pt"/>
                      <w:rFonts w:ascii="Times New Roman" w:hAnsi="Times New Roman" w:cs="Times New Roman"/>
                      <w:sz w:val="20"/>
                    </w:rPr>
                    <w:t>® 488</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527/32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507 LP</w:t>
                  </w:r>
                </w:p>
              </w:tc>
            </w:tr>
            <w:tr w:rsidR="002B2F04" w:rsidTr="005E3DC2">
              <w:trPr>
                <w:trHeight w:val="269"/>
              </w:trPr>
              <w:tc>
                <w:tcPr>
                  <w:tcW w:w="44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rPr>
                      <w:rStyle w:val="Bodytext265pt"/>
                      <w:rFonts w:ascii="Times New Roman" w:hAnsi="Times New Roman" w:cs="Times New Roman"/>
                      <w:sz w:val="20"/>
                    </w:rPr>
                  </w:pPr>
                  <w:r>
                    <w:rPr>
                      <w:rStyle w:val="Bodytext265pt"/>
                      <w:rFonts w:ascii="Times New Roman" w:hAnsi="Times New Roman" w:cs="Times New Roman"/>
                      <w:sz w:val="20"/>
                    </w:rPr>
                    <w:t>PE, PI</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586/42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560 LP</w:t>
                  </w:r>
                </w:p>
              </w:tc>
            </w:tr>
            <w:tr w:rsidR="002B2F04" w:rsidTr="005E3DC2">
              <w:trPr>
                <w:trHeight w:val="278"/>
              </w:trPr>
              <w:tc>
                <w:tcPr>
                  <w:tcW w:w="44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rPr>
                      <w:rStyle w:val="Bodytext265pt"/>
                      <w:rFonts w:ascii="Times New Roman" w:hAnsi="Times New Roman" w:cs="Times New Roman"/>
                      <w:sz w:val="20"/>
                    </w:rPr>
                  </w:pPr>
                  <w:proofErr w:type="spellStart"/>
                  <w:r>
                    <w:rPr>
                      <w:rStyle w:val="Bodytext265pt"/>
                      <w:rFonts w:ascii="Times New Roman" w:hAnsi="Times New Roman" w:cs="Times New Roman"/>
                      <w:sz w:val="20"/>
                    </w:rPr>
                    <w:t>PerCP</w:t>
                  </w:r>
                  <w:proofErr w:type="spellEnd"/>
                  <w:r>
                    <w:rPr>
                      <w:rStyle w:val="Bodytext265pt"/>
                      <w:rFonts w:ascii="Times New Roman" w:hAnsi="Times New Roman" w:cs="Times New Roman"/>
                      <w:sz w:val="20"/>
                    </w:rPr>
                    <w:t xml:space="preserve">, </w:t>
                  </w:r>
                  <w:proofErr w:type="spellStart"/>
                  <w:r>
                    <w:rPr>
                      <w:rStyle w:val="Bodytext265pt"/>
                      <w:rFonts w:ascii="Times New Roman" w:hAnsi="Times New Roman" w:cs="Times New Roman"/>
                      <w:sz w:val="20"/>
                    </w:rPr>
                    <w:t>PerCP-Cy5.5,</w:t>
                  </w:r>
                  <w:proofErr w:type="spellEnd"/>
                  <w:r>
                    <w:rPr>
                      <w:rStyle w:val="Bodytext265pt"/>
                      <w:rFonts w:ascii="Times New Roman" w:hAnsi="Times New Roman" w:cs="Times New Roman"/>
                      <w:sz w:val="20"/>
                    </w:rPr>
                    <w:t xml:space="preserve"> 7-AAD</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700/54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665 LP</w:t>
                  </w:r>
                </w:p>
              </w:tc>
            </w:tr>
            <w:tr w:rsidR="002B2F04" w:rsidTr="005E3DC2">
              <w:trPr>
                <w:trHeight w:val="269"/>
              </w:trPr>
              <w:tc>
                <w:tcPr>
                  <w:tcW w:w="44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rPr>
                      <w:rStyle w:val="Bodytext265pt"/>
                      <w:rFonts w:ascii="Times New Roman" w:hAnsi="Times New Roman" w:cs="Times New Roman"/>
                      <w:sz w:val="20"/>
                    </w:rPr>
                  </w:pPr>
                  <w:r>
                    <w:rPr>
                      <w:rStyle w:val="Bodytext265pt"/>
                      <w:rFonts w:ascii="Times New Roman" w:hAnsi="Times New Roman" w:cs="Times New Roman"/>
                      <w:sz w:val="20"/>
                    </w:rPr>
                    <w:t>PE-Cy7</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783/56</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752 LP</w:t>
                  </w:r>
                </w:p>
              </w:tc>
            </w:tr>
            <w:tr w:rsidR="002B2F04" w:rsidTr="005E3DC2">
              <w:trPr>
                <w:trHeight w:val="278"/>
              </w:trPr>
              <w:tc>
                <w:tcPr>
                  <w:tcW w:w="44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rPr>
                      <w:rStyle w:val="Bodytext265pt"/>
                      <w:rFonts w:ascii="Times New Roman" w:hAnsi="Times New Roman" w:cs="Times New Roman"/>
                      <w:sz w:val="20"/>
                    </w:rPr>
                  </w:pPr>
                  <w:r>
                    <w:rPr>
                      <w:rStyle w:val="Bodytext265pt"/>
                      <w:rFonts w:ascii="Times New Roman" w:hAnsi="Times New Roman" w:cs="Times New Roman"/>
                      <w:sz w:val="20"/>
                    </w:rPr>
                    <w:t xml:space="preserve">APC, </w:t>
                  </w:r>
                  <w:proofErr w:type="spellStart"/>
                  <w:r>
                    <w:rPr>
                      <w:rStyle w:val="Bodytext265pt"/>
                      <w:rFonts w:ascii="Times New Roman" w:hAnsi="Times New Roman" w:cs="Times New Roman"/>
                      <w:sz w:val="20"/>
                    </w:rPr>
                    <w:t>Alexa</w:t>
                  </w:r>
                  <w:proofErr w:type="spellEnd"/>
                  <w:r>
                    <w:rPr>
                      <w:rStyle w:val="Bodytext265pt"/>
                      <w:rFonts w:ascii="Times New Roman" w:hAnsi="Times New Roman" w:cs="Times New Roman"/>
                      <w:sz w:val="20"/>
                    </w:rPr>
                    <w:t xml:space="preserve"> </w:t>
                  </w:r>
                  <w:proofErr w:type="spellStart"/>
                  <w:r>
                    <w:rPr>
                      <w:rStyle w:val="Bodytext265pt"/>
                      <w:rFonts w:ascii="Times New Roman" w:hAnsi="Times New Roman" w:cs="Times New Roman"/>
                      <w:sz w:val="20"/>
                    </w:rPr>
                    <w:t>Fluor</w:t>
                  </w:r>
                  <w:proofErr w:type="spellEnd"/>
                  <w:r>
                    <w:rPr>
                      <w:rStyle w:val="Bodytext265pt"/>
                      <w:rFonts w:ascii="Times New Roman" w:hAnsi="Times New Roman" w:cs="Times New Roman"/>
                      <w:sz w:val="20"/>
                    </w:rPr>
                    <w:t>® 647</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660/10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660/10</w:t>
                  </w:r>
                </w:p>
              </w:tc>
            </w:tr>
            <w:tr w:rsidR="002B2F04" w:rsidTr="005E3DC2">
              <w:trPr>
                <w:trHeight w:val="250"/>
              </w:trPr>
              <w:tc>
                <w:tcPr>
                  <w:tcW w:w="44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rPr>
                      <w:rStyle w:val="Bodytext265pt"/>
                      <w:rFonts w:ascii="Times New Roman" w:hAnsi="Times New Roman" w:cs="Times New Roman"/>
                      <w:sz w:val="20"/>
                    </w:rPr>
                  </w:pPr>
                  <w:r>
                    <w:rPr>
                      <w:rStyle w:val="Bodytext265pt"/>
                      <w:rFonts w:ascii="Times New Roman" w:hAnsi="Times New Roman" w:cs="Times New Roman"/>
                      <w:sz w:val="20"/>
                    </w:rPr>
                    <w:t>APC-Cy7, APC-H7</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783/56</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B2F04" w:rsidRDefault="002B2F04" w:rsidP="005E3DC2">
                  <w:pPr>
                    <w:pStyle w:val="Bodytext21"/>
                    <w:shd w:val="clear" w:color="auto" w:fill="auto"/>
                    <w:spacing w:line="240" w:lineRule="auto"/>
                    <w:ind w:left="161"/>
                    <w:jc w:val="center"/>
                    <w:rPr>
                      <w:rStyle w:val="Bodytext265pt"/>
                      <w:rFonts w:ascii="Times New Roman" w:hAnsi="Times New Roman" w:cs="Times New Roman"/>
                      <w:sz w:val="20"/>
                    </w:rPr>
                  </w:pPr>
                  <w:r>
                    <w:rPr>
                      <w:rStyle w:val="Bodytext265pt"/>
                      <w:rFonts w:ascii="Times New Roman" w:hAnsi="Times New Roman" w:cs="Times New Roman"/>
                      <w:sz w:val="20"/>
                    </w:rPr>
                    <w:t>752 LP</w:t>
                  </w:r>
                </w:p>
              </w:tc>
            </w:tr>
          </w:tbl>
          <w:p w:rsidR="002B2F04" w:rsidRDefault="002B2F04" w:rsidP="005E3DC2">
            <w:r>
              <w:t xml:space="preserve"> </w:t>
            </w:r>
          </w:p>
        </w:tc>
      </w:tr>
      <w:tr w:rsidR="002B2F04" w:rsidTr="005E3DC2">
        <w:trPr>
          <w:trHeight w:val="1"/>
        </w:trPr>
        <w:tc>
          <w:tcPr>
            <w:tcW w:w="171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pPr>
            <w:r>
              <w:t>Šūnu un citu daļiņu šķirošanas parametri</w:t>
            </w:r>
          </w:p>
        </w:tc>
        <w:tc>
          <w:tcPr>
            <w:tcW w:w="694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2B2F04">
            <w:pPr>
              <w:widowControl/>
              <w:numPr>
                <w:ilvl w:val="0"/>
                <w:numId w:val="29"/>
              </w:numPr>
              <w:ind w:left="358"/>
            </w:pPr>
            <w:r>
              <w:t>Šķirošanas ātrumam jābūt ne mazākam par 34000 pilienu sekundē;</w:t>
            </w:r>
          </w:p>
          <w:p w:rsidR="002B2F04" w:rsidRDefault="002B2F04" w:rsidP="002B2F04">
            <w:pPr>
              <w:widowControl/>
              <w:numPr>
                <w:ilvl w:val="0"/>
                <w:numId w:val="29"/>
              </w:numPr>
              <w:ind w:left="358"/>
            </w:pPr>
            <w:r>
              <w:t>Iekārtai jānodrošina automātiska šķirošanas optimizācija un monitorings, ieskaitot, šķirošanas kļūdu, pilienu aizkavēšanās un nosprostojumu detektēšanu;</w:t>
            </w:r>
          </w:p>
          <w:p w:rsidR="002B2F04" w:rsidRDefault="002B2F04" w:rsidP="002B2F04">
            <w:pPr>
              <w:widowControl/>
              <w:numPr>
                <w:ilvl w:val="0"/>
                <w:numId w:val="29"/>
              </w:numPr>
              <w:ind w:left="358"/>
            </w:pPr>
            <w:r>
              <w:t xml:space="preserve">Šķirošanas tīrība un ražīgums: ar 23 </w:t>
            </w:r>
            <w:proofErr w:type="spellStart"/>
            <w:r>
              <w:t>psi</w:t>
            </w:r>
            <w:proofErr w:type="spellEnd"/>
            <w:r>
              <w:t xml:space="preserve"> spiedienu, 34kHz frekvenci un ar vidēji 10000 notikumiem sekundē (5% mērķa populācija) divvirzienu šķirošanai jābūt ar vismaz 98% tīrību un vairāk nekā 80% ražību abām populācijām;</w:t>
            </w:r>
          </w:p>
          <w:p w:rsidR="002B2F04" w:rsidRDefault="002B2F04" w:rsidP="002B2F04">
            <w:pPr>
              <w:widowControl/>
              <w:numPr>
                <w:ilvl w:val="0"/>
                <w:numId w:val="29"/>
              </w:numPr>
              <w:ind w:left="358"/>
            </w:pPr>
            <w:r>
              <w:t>Divvirzienu šķirošanas produktu savākšanai jābūt iespējamai 1,5, 2 un 5 ml mēģenēs;</w:t>
            </w:r>
          </w:p>
          <w:p w:rsidR="002B2F04" w:rsidRDefault="002B2F04" w:rsidP="002B2F04">
            <w:pPr>
              <w:widowControl/>
              <w:numPr>
                <w:ilvl w:val="0"/>
                <w:numId w:val="29"/>
              </w:numPr>
              <w:ind w:left="358"/>
            </w:pPr>
            <w:r>
              <w:t>Vienvirziena šķirošanas produktu savākšanai jābūt iespējamai 16, 24, 48, 96 un 384 lauciņu platītēs.</w:t>
            </w:r>
          </w:p>
        </w:tc>
      </w:tr>
      <w:tr w:rsidR="002B2F04" w:rsidTr="005E3DC2">
        <w:trPr>
          <w:trHeight w:val="1"/>
        </w:trPr>
        <w:tc>
          <w:tcPr>
            <w:tcW w:w="171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pPr>
            <w:r>
              <w:t>Dators un programmatūra</w:t>
            </w:r>
          </w:p>
        </w:tc>
        <w:tc>
          <w:tcPr>
            <w:tcW w:w="694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spacing w:after="240"/>
            </w:pPr>
            <w:r>
              <w:t xml:space="preserve">Iekārtai jābūt komplektētai ar atbilstošu datoru un programmatūru iekārtas kontrolei un datu analīzei. </w:t>
            </w:r>
          </w:p>
          <w:p w:rsidR="002B2F04" w:rsidRDefault="002B2F04" w:rsidP="005E3DC2">
            <w:pPr>
              <w:suppressAutoHyphens/>
              <w:spacing w:after="240"/>
            </w:pPr>
            <w:r>
              <w:t xml:space="preserve">Datora parametri: vismaz 23" monitors ar izšķirtspēju vismaz 1920x1080, Procesora veiktspēja pēc </w:t>
            </w:r>
            <w:proofErr w:type="spellStart"/>
            <w:r>
              <w:t>Passmark</w:t>
            </w:r>
            <w:proofErr w:type="spellEnd"/>
            <w:r>
              <w:t xml:space="preserve"> testa vismaz 5000 punkti, RAM vismaz 8GB, cietais disks vismaz 500GB, Windows 10 </w:t>
            </w:r>
            <w:r>
              <w:lastRenderedPageBreak/>
              <w:t>64-bit vai līdzvērtīga operētājsistēma.</w:t>
            </w:r>
          </w:p>
        </w:tc>
      </w:tr>
      <w:tr w:rsidR="002B2F04" w:rsidTr="005E3DC2">
        <w:trPr>
          <w:trHeight w:val="1"/>
        </w:trPr>
        <w:tc>
          <w:tcPr>
            <w:tcW w:w="171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pPr>
            <w:r>
              <w:lastRenderedPageBreak/>
              <w:t>Papildaprīkojums</w:t>
            </w:r>
          </w:p>
        </w:tc>
        <w:tc>
          <w:tcPr>
            <w:tcW w:w="694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pPr>
            <w:r>
              <w:t>Savienojams ar iekārtu:</w:t>
            </w:r>
          </w:p>
          <w:p w:rsidR="002B2F04" w:rsidRDefault="002B2F04" w:rsidP="002B2F04">
            <w:pPr>
              <w:widowControl/>
              <w:numPr>
                <w:ilvl w:val="0"/>
                <w:numId w:val="30"/>
              </w:numPr>
              <w:ind w:left="358"/>
            </w:pPr>
            <w:r>
              <w:t>Iekārtas statīvs;</w:t>
            </w:r>
          </w:p>
          <w:p w:rsidR="002B2F04" w:rsidRDefault="002B2F04" w:rsidP="002B2F04">
            <w:pPr>
              <w:widowControl/>
              <w:numPr>
                <w:ilvl w:val="0"/>
                <w:numId w:val="30"/>
              </w:numPr>
              <w:ind w:left="358"/>
            </w:pPr>
            <w:r>
              <w:t>Gaisa kompresors;</w:t>
            </w:r>
          </w:p>
          <w:p w:rsidR="002B2F04" w:rsidRDefault="002B2F04" w:rsidP="002B2F04">
            <w:pPr>
              <w:widowControl/>
              <w:numPr>
                <w:ilvl w:val="0"/>
                <w:numId w:val="30"/>
              </w:numPr>
              <w:ind w:left="358"/>
            </w:pPr>
            <w:r>
              <w:t>Paraugu temperatūras kontroles iekārta;</w:t>
            </w:r>
          </w:p>
          <w:p w:rsidR="002B2F04" w:rsidRDefault="002B2F04" w:rsidP="002B2F04">
            <w:pPr>
              <w:widowControl/>
              <w:numPr>
                <w:ilvl w:val="0"/>
                <w:numId w:val="30"/>
              </w:numPr>
              <w:ind w:left="358"/>
            </w:pPr>
            <w:proofErr w:type="spellStart"/>
            <w:r>
              <w:t>Daudzlauciņu</w:t>
            </w:r>
            <w:proofErr w:type="spellEnd"/>
            <w:r>
              <w:t xml:space="preserve"> platīšu šķirošanas modulis.</w:t>
            </w:r>
          </w:p>
        </w:tc>
      </w:tr>
      <w:tr w:rsidR="002B2F04" w:rsidTr="005E3DC2">
        <w:trPr>
          <w:trHeight w:val="1"/>
        </w:trPr>
        <w:tc>
          <w:tcPr>
            <w:tcW w:w="171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pPr>
            <w:r>
              <w:t>Pakalpojumi</w:t>
            </w:r>
          </w:p>
        </w:tc>
        <w:tc>
          <w:tcPr>
            <w:tcW w:w="694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jc w:val="both"/>
            </w:pPr>
            <w:r>
              <w:t>Instalācija un lietotāja apmācība darba vietā.</w:t>
            </w:r>
          </w:p>
          <w:p w:rsidR="002B2F04" w:rsidRDefault="002B2F04" w:rsidP="005E3DC2">
            <w:pPr>
              <w:suppressAutoHyphens/>
              <w:jc w:val="both"/>
            </w:pPr>
          </w:p>
        </w:tc>
      </w:tr>
      <w:tr w:rsidR="002B2F04" w:rsidTr="005E3DC2">
        <w:trPr>
          <w:trHeight w:val="1"/>
        </w:trPr>
        <w:tc>
          <w:tcPr>
            <w:tcW w:w="171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pPr>
            <w:r>
              <w:t>Garantija</w:t>
            </w:r>
          </w:p>
        </w:tc>
        <w:tc>
          <w:tcPr>
            <w:tcW w:w="694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B2F04" w:rsidRDefault="002B2F04" w:rsidP="005E3DC2">
            <w:pPr>
              <w:suppressAutoHyphens/>
              <w:jc w:val="both"/>
            </w:pPr>
            <w:r w:rsidRPr="0020064C">
              <w:t>Garantijas laiks ne mazāks kā 2 gadi.</w:t>
            </w:r>
          </w:p>
        </w:tc>
      </w:tr>
    </w:tbl>
    <w:p w:rsidR="002B2F04" w:rsidRDefault="002B2F04" w:rsidP="002B2F04">
      <w:pPr>
        <w:rPr>
          <w:color w:val="7C5063"/>
        </w:rPr>
      </w:pPr>
    </w:p>
    <w:p w:rsidR="00E60B31" w:rsidRDefault="00E60B31" w:rsidP="008D14B6">
      <w:pPr>
        <w:rPr>
          <w:noProof/>
          <w:lang w:eastAsia="lv-LV"/>
        </w:rPr>
      </w:pPr>
    </w:p>
    <w:p w:rsidR="00E60B31" w:rsidRDefault="00E60B31" w:rsidP="008D14B6">
      <w:pPr>
        <w:rPr>
          <w:noProof/>
          <w:lang w:eastAsia="lv-LV"/>
        </w:rPr>
      </w:pPr>
    </w:p>
    <w:p w:rsidR="006378B0" w:rsidRDefault="006378B0">
      <w:pPr>
        <w:widowControl/>
        <w:rPr>
          <w:noProof/>
          <w:lang w:eastAsia="lv-LV"/>
        </w:rPr>
      </w:pPr>
      <w:r>
        <w:rPr>
          <w:noProof/>
          <w:lang w:eastAsia="lv-LV"/>
        </w:rPr>
        <w:br w:type="page"/>
      </w:r>
    </w:p>
    <w:p w:rsidR="00E60B31" w:rsidRDefault="00E60B31" w:rsidP="008D14B6">
      <w:pPr>
        <w:rPr>
          <w:noProof/>
          <w:lang w:eastAsia="lv-LV"/>
        </w:rPr>
      </w:pPr>
    </w:p>
    <w:p w:rsidR="006378B0" w:rsidRDefault="006378B0" w:rsidP="006378B0">
      <w:pPr>
        <w:jc w:val="center"/>
        <w:rPr>
          <w:b/>
          <w:noProof/>
          <w:lang w:eastAsia="lv-LV"/>
        </w:rPr>
      </w:pPr>
    </w:p>
    <w:p w:rsidR="005A5F92" w:rsidRPr="005A5F92" w:rsidRDefault="005A5F92" w:rsidP="00237B7B">
      <w:pPr>
        <w:pStyle w:val="ListParagraph"/>
        <w:widowControl/>
        <w:numPr>
          <w:ilvl w:val="0"/>
          <w:numId w:val="25"/>
        </w:numPr>
        <w:jc w:val="center"/>
        <w:outlineLvl w:val="1"/>
        <w:rPr>
          <w:b/>
          <w:sz w:val="28"/>
          <w:szCs w:val="28"/>
          <w:highlight w:val="yellow"/>
        </w:rPr>
      </w:pPr>
      <w:bookmarkStart w:id="51" w:name="_Toc489976888"/>
      <w:r w:rsidRPr="005A5F92">
        <w:rPr>
          <w:b/>
          <w:sz w:val="28"/>
          <w:szCs w:val="28"/>
          <w:highlight w:val="yellow"/>
        </w:rPr>
        <w:t>Lote</w:t>
      </w:r>
      <w:bookmarkEnd w:id="51"/>
    </w:p>
    <w:p w:rsidR="002B2F04" w:rsidRPr="006B334D" w:rsidRDefault="002B2F04" w:rsidP="00237B7B">
      <w:pPr>
        <w:ind w:left="360"/>
        <w:jc w:val="center"/>
        <w:outlineLvl w:val="1"/>
        <w:rPr>
          <w:b/>
          <w:sz w:val="28"/>
        </w:rPr>
      </w:pPr>
      <w:bookmarkStart w:id="52" w:name="_Toc489447238"/>
      <w:bookmarkStart w:id="53" w:name="_Toc489976889"/>
      <w:r w:rsidRPr="006B334D">
        <w:rPr>
          <w:b/>
          <w:sz w:val="28"/>
        </w:rPr>
        <w:t xml:space="preserve">Aparatūra darbam ar šūnu kultūrām </w:t>
      </w:r>
      <w:proofErr w:type="spellStart"/>
      <w:r w:rsidRPr="006B334D">
        <w:rPr>
          <w:b/>
          <w:sz w:val="28"/>
        </w:rPr>
        <w:t>hipoksijas</w:t>
      </w:r>
      <w:proofErr w:type="spellEnd"/>
      <w:r w:rsidRPr="006B334D">
        <w:rPr>
          <w:b/>
          <w:sz w:val="28"/>
        </w:rPr>
        <w:t xml:space="preserve"> apstākļos</w:t>
      </w:r>
      <w:bookmarkEnd w:id="52"/>
      <w:bookmarkEnd w:id="53"/>
    </w:p>
    <w:p w:rsidR="002B2F04" w:rsidRDefault="002B2F04" w:rsidP="002B2F04">
      <w:pPr>
        <w:rPr>
          <w:b/>
        </w:rPr>
      </w:pPr>
    </w:p>
    <w:p w:rsidR="00241588" w:rsidRPr="006B334D" w:rsidRDefault="00241588" w:rsidP="002B2F04">
      <w:pPr>
        <w:rPr>
          <w:b/>
        </w:rPr>
      </w:pPr>
    </w:p>
    <w:p w:rsidR="002B2F04" w:rsidRPr="006B334D" w:rsidRDefault="002B2F04" w:rsidP="002B2F04">
      <w:r w:rsidRPr="006B334D">
        <w:t xml:space="preserve">Lai paplašinātu pētījumu iespējas, paredzēts iegādāties jaunu aprīkojumu darbam ar šūnu kultūrām. </w:t>
      </w:r>
      <w:proofErr w:type="spellStart"/>
      <w:r w:rsidRPr="006B334D">
        <w:t>Hipoksijas</w:t>
      </w:r>
      <w:proofErr w:type="spellEnd"/>
      <w:r w:rsidRPr="006B334D">
        <w:t xml:space="preserve"> darba stacija ir specializēta šūnu kamera, kuru izmanto, lai simulētu organisma iekšējās vides, kā arī </w:t>
      </w:r>
      <w:proofErr w:type="spellStart"/>
      <w:r w:rsidRPr="006B334D">
        <w:t>anoksijas</w:t>
      </w:r>
      <w:proofErr w:type="spellEnd"/>
      <w:r w:rsidRPr="006B334D">
        <w:t xml:space="preserve"> vai kontrolētas </w:t>
      </w:r>
      <w:proofErr w:type="spellStart"/>
      <w:r w:rsidRPr="006B334D">
        <w:t>hipoksijas</w:t>
      </w:r>
      <w:proofErr w:type="spellEnd"/>
      <w:r w:rsidRPr="006B334D">
        <w:t xml:space="preserve"> apstākļus šūnu kultūrās. Kamerā iespējams mainīt skābekļa, CO</w:t>
      </w:r>
      <w:r w:rsidRPr="006B334D">
        <w:rPr>
          <w:vertAlign w:val="subscript"/>
        </w:rPr>
        <w:t>2</w:t>
      </w:r>
      <w:r w:rsidRPr="006B334D">
        <w:t>, temperatūras un mitruma režīmus, kas atbilst apstākļiem dažādos audos fiziskas slodzes, išēmijas vai miera apstākļos.</w:t>
      </w:r>
    </w:p>
    <w:p w:rsidR="002B2F04" w:rsidRDefault="002B2F04" w:rsidP="002B2F04"/>
    <w:p w:rsidR="005E3DC2" w:rsidRPr="006B334D" w:rsidRDefault="005E3DC2" w:rsidP="002B2F0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512"/>
      </w:tblGrid>
      <w:tr w:rsidR="002B2F04" w:rsidRPr="006B334D" w:rsidTr="005E3DC2">
        <w:tc>
          <w:tcPr>
            <w:tcW w:w="1668" w:type="dxa"/>
            <w:vAlign w:val="center"/>
          </w:tcPr>
          <w:p w:rsidR="002B2F04" w:rsidRPr="006B334D" w:rsidRDefault="002B2F04" w:rsidP="005E3DC2">
            <w:pPr>
              <w:jc w:val="center"/>
              <w:rPr>
                <w:b/>
                <w:bCs/>
              </w:rPr>
            </w:pPr>
            <w:r w:rsidRPr="006B334D">
              <w:rPr>
                <w:b/>
                <w:bCs/>
                <w:i/>
                <w:iCs/>
              </w:rPr>
              <w:t>Pozīcija</w:t>
            </w:r>
          </w:p>
        </w:tc>
        <w:tc>
          <w:tcPr>
            <w:tcW w:w="7512" w:type="dxa"/>
            <w:vAlign w:val="center"/>
          </w:tcPr>
          <w:p w:rsidR="002B2F04" w:rsidRPr="006B334D" w:rsidRDefault="002B2F04" w:rsidP="005E3DC2">
            <w:pPr>
              <w:jc w:val="center"/>
              <w:rPr>
                <w:b/>
                <w:bCs/>
              </w:rPr>
            </w:pPr>
            <w:r w:rsidRPr="006B334D">
              <w:rPr>
                <w:b/>
                <w:bCs/>
                <w:i/>
                <w:iCs/>
              </w:rPr>
              <w:t>Apraksts/Prasības</w:t>
            </w:r>
          </w:p>
        </w:tc>
      </w:tr>
      <w:tr w:rsidR="002B2F04" w:rsidRPr="006B334D" w:rsidTr="005E3DC2">
        <w:tc>
          <w:tcPr>
            <w:tcW w:w="1668" w:type="dxa"/>
          </w:tcPr>
          <w:p w:rsidR="002B2F04" w:rsidRPr="006B334D" w:rsidRDefault="002B2F04" w:rsidP="005E3DC2">
            <w:pPr>
              <w:suppressAutoHyphens/>
            </w:pPr>
            <w:r w:rsidRPr="006B334D">
              <w:t>Vispārīgs apraksts</w:t>
            </w:r>
          </w:p>
        </w:tc>
        <w:tc>
          <w:tcPr>
            <w:tcW w:w="7512" w:type="dxa"/>
          </w:tcPr>
          <w:p w:rsidR="002B2F04" w:rsidRPr="006B334D" w:rsidRDefault="002B2F04" w:rsidP="005E3DC2">
            <w:r w:rsidRPr="006B334D">
              <w:t xml:space="preserve">Iekārta nodrošina no ārējās vides pilnībā izolētu un kontrolējamu darbu ar šūnām un to </w:t>
            </w:r>
            <w:proofErr w:type="spellStart"/>
            <w:r w:rsidRPr="006B334D">
              <w:t>inkubēšanu</w:t>
            </w:r>
            <w:proofErr w:type="spellEnd"/>
            <w:r w:rsidRPr="006B334D">
              <w:t xml:space="preserve"> noteiktos gāzu un temperatūras apstākļos.</w:t>
            </w:r>
          </w:p>
        </w:tc>
      </w:tr>
      <w:tr w:rsidR="002B2F04" w:rsidRPr="006B334D" w:rsidTr="005E3DC2">
        <w:tc>
          <w:tcPr>
            <w:tcW w:w="1668" w:type="dxa"/>
          </w:tcPr>
          <w:p w:rsidR="002B2F04" w:rsidRPr="006B334D" w:rsidRDefault="002B2F04" w:rsidP="005E3DC2">
            <w:r w:rsidRPr="006B334D">
              <w:t>Novietojums</w:t>
            </w:r>
          </w:p>
        </w:tc>
        <w:tc>
          <w:tcPr>
            <w:tcW w:w="7512" w:type="dxa"/>
          </w:tcPr>
          <w:p w:rsidR="002B2F04" w:rsidRPr="006B334D" w:rsidRDefault="002B2F04" w:rsidP="005E3DC2">
            <w:r w:rsidRPr="006B334D">
              <w:t>Brīvi stāvoša, var novietot uz galda</w:t>
            </w:r>
          </w:p>
        </w:tc>
      </w:tr>
      <w:tr w:rsidR="002B2F04" w:rsidRPr="006B334D" w:rsidTr="005E3DC2">
        <w:tc>
          <w:tcPr>
            <w:tcW w:w="1668" w:type="dxa"/>
          </w:tcPr>
          <w:p w:rsidR="002B2F04" w:rsidRPr="006B334D" w:rsidRDefault="002B2F04" w:rsidP="005E3DC2">
            <w:r w:rsidRPr="006B334D">
              <w:t xml:space="preserve">Kameras izmēri </w:t>
            </w:r>
          </w:p>
        </w:tc>
        <w:tc>
          <w:tcPr>
            <w:tcW w:w="7512" w:type="dxa"/>
          </w:tcPr>
          <w:p w:rsidR="002B2F04" w:rsidRPr="006B334D" w:rsidRDefault="002B2F04" w:rsidP="002B2F04">
            <w:pPr>
              <w:pStyle w:val="ListParagraph"/>
              <w:widowControl/>
              <w:numPr>
                <w:ilvl w:val="0"/>
                <w:numId w:val="39"/>
              </w:numPr>
              <w:contextualSpacing/>
            </w:pPr>
            <w:r w:rsidRPr="006B334D">
              <w:t>Iekārtas ārējie izmēri, ne lielāki kā:</w:t>
            </w:r>
          </w:p>
          <w:p w:rsidR="002B2F04" w:rsidRPr="006B334D" w:rsidRDefault="002B2F04" w:rsidP="002B2F04">
            <w:pPr>
              <w:pStyle w:val="ListParagraph"/>
              <w:widowControl/>
              <w:numPr>
                <w:ilvl w:val="0"/>
                <w:numId w:val="33"/>
              </w:numPr>
              <w:ind w:left="884" w:hanging="283"/>
              <w:contextualSpacing/>
            </w:pPr>
            <w:r w:rsidRPr="006B334D">
              <w:t xml:space="preserve">platums 830 mm, </w:t>
            </w:r>
          </w:p>
          <w:p w:rsidR="002B2F04" w:rsidRPr="006B334D" w:rsidRDefault="002B2F04" w:rsidP="002B2F04">
            <w:pPr>
              <w:pStyle w:val="ListParagraph"/>
              <w:widowControl/>
              <w:numPr>
                <w:ilvl w:val="0"/>
                <w:numId w:val="33"/>
              </w:numPr>
              <w:ind w:left="884" w:hanging="283"/>
              <w:contextualSpacing/>
            </w:pPr>
            <w:r w:rsidRPr="006B334D">
              <w:t xml:space="preserve">dziļums 660 mm, </w:t>
            </w:r>
          </w:p>
          <w:p w:rsidR="002B2F04" w:rsidRPr="006B334D" w:rsidRDefault="002B2F04" w:rsidP="002B2F04">
            <w:pPr>
              <w:pStyle w:val="ListParagraph"/>
              <w:widowControl/>
              <w:numPr>
                <w:ilvl w:val="0"/>
                <w:numId w:val="33"/>
              </w:numPr>
              <w:ind w:left="884" w:hanging="283"/>
              <w:contextualSpacing/>
            </w:pPr>
            <w:r w:rsidRPr="006B334D">
              <w:t>augstums 650 mm;</w:t>
            </w:r>
          </w:p>
          <w:p w:rsidR="002B2F04" w:rsidRPr="006B334D" w:rsidRDefault="002B2F04" w:rsidP="002B2F04">
            <w:pPr>
              <w:pStyle w:val="ListParagraph"/>
              <w:widowControl/>
              <w:numPr>
                <w:ilvl w:val="0"/>
                <w:numId w:val="31"/>
              </w:numPr>
              <w:contextualSpacing/>
              <w:jc w:val="both"/>
            </w:pPr>
            <w:r w:rsidRPr="006B334D">
              <w:t>Iekārtas iekšējās darba platības izmēri ne mazāki kā:</w:t>
            </w:r>
          </w:p>
          <w:p w:rsidR="002B2F04" w:rsidRPr="006B334D" w:rsidRDefault="002B2F04" w:rsidP="002B2F04">
            <w:pPr>
              <w:pStyle w:val="ListParagraph"/>
              <w:widowControl/>
              <w:numPr>
                <w:ilvl w:val="0"/>
                <w:numId w:val="33"/>
              </w:numPr>
              <w:ind w:left="884" w:hanging="283"/>
              <w:contextualSpacing/>
            </w:pPr>
            <w:r w:rsidRPr="006B334D">
              <w:t xml:space="preserve">platums 500 mm, </w:t>
            </w:r>
          </w:p>
          <w:p w:rsidR="002B2F04" w:rsidRPr="006B334D" w:rsidRDefault="002B2F04" w:rsidP="002B2F04">
            <w:pPr>
              <w:pStyle w:val="ListParagraph"/>
              <w:widowControl/>
              <w:numPr>
                <w:ilvl w:val="0"/>
                <w:numId w:val="33"/>
              </w:numPr>
              <w:ind w:left="884" w:hanging="283"/>
              <w:contextualSpacing/>
            </w:pPr>
            <w:r w:rsidRPr="006B334D">
              <w:t>dziļums 460 mm,</w:t>
            </w:r>
          </w:p>
          <w:p w:rsidR="002B2F04" w:rsidRPr="006B334D" w:rsidRDefault="002B2F04" w:rsidP="002B2F04">
            <w:pPr>
              <w:pStyle w:val="ListParagraph"/>
              <w:widowControl/>
              <w:numPr>
                <w:ilvl w:val="0"/>
                <w:numId w:val="33"/>
              </w:numPr>
              <w:ind w:left="884" w:hanging="283"/>
              <w:contextualSpacing/>
            </w:pPr>
            <w:r w:rsidRPr="006B334D">
              <w:t>augstums 420 mm;</w:t>
            </w:r>
          </w:p>
          <w:p w:rsidR="002B2F04" w:rsidRPr="006B334D" w:rsidRDefault="002B2F04" w:rsidP="002B2F04">
            <w:pPr>
              <w:pStyle w:val="ListParagraph"/>
              <w:widowControl/>
              <w:numPr>
                <w:ilvl w:val="0"/>
                <w:numId w:val="34"/>
              </w:numPr>
              <w:contextualSpacing/>
            </w:pPr>
            <w:r w:rsidRPr="006B334D">
              <w:t>Maksimālā iekārtas ietilpības kapacitāte – ne mazāka kā 270 96-lauciņu plates;</w:t>
            </w:r>
          </w:p>
          <w:p w:rsidR="002B2F04" w:rsidRPr="006B334D" w:rsidRDefault="002B2F04" w:rsidP="002B2F04">
            <w:pPr>
              <w:pStyle w:val="ListParagraph"/>
              <w:widowControl/>
              <w:numPr>
                <w:ilvl w:val="0"/>
                <w:numId w:val="34"/>
              </w:numPr>
              <w:contextualSpacing/>
            </w:pPr>
            <w:r w:rsidRPr="006B334D">
              <w:t>Iekārtas darba ietilpības kapacitāte – ne mazāka kā 170 96-lauciņu plates;</w:t>
            </w:r>
          </w:p>
          <w:p w:rsidR="002B2F04" w:rsidRPr="006B334D" w:rsidRDefault="002B2F04" w:rsidP="002B2F04">
            <w:pPr>
              <w:pStyle w:val="ListParagraph"/>
              <w:widowControl/>
              <w:numPr>
                <w:ilvl w:val="0"/>
                <w:numId w:val="34"/>
              </w:numPr>
              <w:contextualSpacing/>
            </w:pPr>
            <w:r w:rsidRPr="006B334D">
              <w:t>Maksimālā paraugu ievades sistēmas ietilpības kapacitāte – ne mazāka kā 20 96-lauciņu plates;</w:t>
            </w:r>
          </w:p>
          <w:p w:rsidR="002B2F04" w:rsidRPr="006B334D" w:rsidRDefault="002B2F04" w:rsidP="002B2F04">
            <w:pPr>
              <w:pStyle w:val="ListParagraph"/>
              <w:widowControl/>
              <w:numPr>
                <w:ilvl w:val="0"/>
                <w:numId w:val="34"/>
              </w:numPr>
              <w:contextualSpacing/>
            </w:pPr>
            <w:r w:rsidRPr="006B334D">
              <w:t>Iekārtas paraugu ievades sistēmas izmēri paraugu ievietošanai ne lielāki kā:</w:t>
            </w:r>
          </w:p>
          <w:p w:rsidR="002B2F04" w:rsidRPr="006B334D" w:rsidRDefault="002B2F04" w:rsidP="002B2F04">
            <w:pPr>
              <w:pStyle w:val="ListParagraph"/>
              <w:widowControl/>
              <w:numPr>
                <w:ilvl w:val="0"/>
                <w:numId w:val="35"/>
              </w:numPr>
              <w:ind w:left="1876" w:hanging="283"/>
              <w:contextualSpacing/>
            </w:pPr>
            <w:r w:rsidRPr="006B334D">
              <w:t xml:space="preserve">platums 150 mm, </w:t>
            </w:r>
          </w:p>
          <w:p w:rsidR="002B2F04" w:rsidRPr="006B334D" w:rsidRDefault="002B2F04" w:rsidP="002B2F04">
            <w:pPr>
              <w:pStyle w:val="ListParagraph"/>
              <w:widowControl/>
              <w:numPr>
                <w:ilvl w:val="0"/>
                <w:numId w:val="35"/>
              </w:numPr>
              <w:ind w:left="1876" w:hanging="283"/>
              <w:contextualSpacing/>
            </w:pPr>
            <w:r w:rsidRPr="006B334D">
              <w:t>augstums 190 mm,</w:t>
            </w:r>
          </w:p>
          <w:p w:rsidR="002B2F04" w:rsidRPr="006B334D" w:rsidRDefault="002B2F04" w:rsidP="002B2F04">
            <w:pPr>
              <w:pStyle w:val="ListParagraph"/>
              <w:widowControl/>
              <w:numPr>
                <w:ilvl w:val="0"/>
                <w:numId w:val="35"/>
              </w:numPr>
              <w:ind w:left="1876" w:hanging="283"/>
              <w:contextualSpacing/>
            </w:pPr>
            <w:r w:rsidRPr="006B334D">
              <w:t>dziļums 230 mm;</w:t>
            </w:r>
          </w:p>
          <w:p w:rsidR="002B2F04" w:rsidRPr="006B334D" w:rsidRDefault="002B2F04" w:rsidP="002B2F04">
            <w:pPr>
              <w:pStyle w:val="ListParagraph"/>
              <w:widowControl/>
              <w:numPr>
                <w:ilvl w:val="0"/>
                <w:numId w:val="35"/>
              </w:numPr>
              <w:contextualSpacing/>
            </w:pPr>
            <w:r w:rsidRPr="006B334D">
              <w:t xml:space="preserve">Iekārtas </w:t>
            </w:r>
            <w:r w:rsidRPr="006B334D">
              <w:rPr>
                <w:lang w:eastAsia="lv-LV"/>
              </w:rPr>
              <w:t>kopējam svaram jābūt ne lielākam kā 80 kg.</w:t>
            </w:r>
          </w:p>
        </w:tc>
      </w:tr>
      <w:tr w:rsidR="002B2F04" w:rsidRPr="006B334D" w:rsidTr="005E3DC2">
        <w:tc>
          <w:tcPr>
            <w:tcW w:w="1668" w:type="dxa"/>
          </w:tcPr>
          <w:p w:rsidR="002B2F04" w:rsidRPr="006B334D" w:rsidRDefault="002B2F04" w:rsidP="005E3DC2">
            <w:proofErr w:type="spellStart"/>
            <w:r w:rsidRPr="006B334D">
              <w:t>Hipoksijas</w:t>
            </w:r>
            <w:proofErr w:type="spellEnd"/>
            <w:r w:rsidRPr="006B334D">
              <w:t xml:space="preserve"> kameras funkcijas:</w:t>
            </w:r>
          </w:p>
        </w:tc>
        <w:tc>
          <w:tcPr>
            <w:tcW w:w="7512" w:type="dxa"/>
          </w:tcPr>
          <w:p w:rsidR="002B2F04" w:rsidRPr="006B334D" w:rsidRDefault="002B2F04" w:rsidP="005E3DC2">
            <w:r w:rsidRPr="006B334D">
              <w:t>Darba stacijai jāatbilst šādām prasībām:</w:t>
            </w:r>
          </w:p>
          <w:p w:rsidR="002B2F04" w:rsidRPr="006B334D" w:rsidRDefault="002B2F04" w:rsidP="002B2F04">
            <w:pPr>
              <w:pStyle w:val="ListParagraph"/>
              <w:widowControl/>
              <w:numPr>
                <w:ilvl w:val="0"/>
                <w:numId w:val="36"/>
              </w:numPr>
              <w:contextualSpacing/>
            </w:pPr>
            <w:r w:rsidRPr="006B334D">
              <w:t>Automātiski nodrošina iestatīto O</w:t>
            </w:r>
            <w:r w:rsidRPr="006B334D">
              <w:rPr>
                <w:vertAlign w:val="subscript"/>
              </w:rPr>
              <w:t>2</w:t>
            </w:r>
            <w:r w:rsidRPr="006B334D">
              <w:t xml:space="preserve"> koncentrāciju diap</w:t>
            </w:r>
            <w:r>
              <w:t>a</w:t>
            </w:r>
            <w:r w:rsidRPr="006B334D">
              <w:t>zonā vismaz no 0,0-20,9 % ar soli ne lielāku kā 0,1%;</w:t>
            </w:r>
          </w:p>
          <w:p w:rsidR="002B2F04" w:rsidRPr="006B334D" w:rsidRDefault="002B2F04" w:rsidP="002B2F04">
            <w:pPr>
              <w:pStyle w:val="ListParagraph"/>
              <w:widowControl/>
              <w:numPr>
                <w:ilvl w:val="0"/>
                <w:numId w:val="36"/>
              </w:numPr>
              <w:contextualSpacing/>
            </w:pPr>
            <w:r w:rsidRPr="006B334D">
              <w:t>Automātiski nodrošina iestatīto CO</w:t>
            </w:r>
            <w:r w:rsidRPr="006B334D">
              <w:rPr>
                <w:vertAlign w:val="subscript"/>
              </w:rPr>
              <w:t>2</w:t>
            </w:r>
            <w:r w:rsidRPr="006B334D">
              <w:t xml:space="preserve"> koncentrāciju diap</w:t>
            </w:r>
            <w:r>
              <w:t>a</w:t>
            </w:r>
            <w:r w:rsidRPr="006B334D">
              <w:t>zonā vismaz no 0,1-30,0 % ar soli ne lielāku kā 0,1%;</w:t>
            </w:r>
          </w:p>
          <w:p w:rsidR="002B2F04" w:rsidRPr="006B334D" w:rsidRDefault="002B2F04" w:rsidP="002B2F04">
            <w:pPr>
              <w:pStyle w:val="ListParagraph"/>
              <w:widowControl/>
              <w:numPr>
                <w:ilvl w:val="0"/>
                <w:numId w:val="36"/>
              </w:numPr>
              <w:contextualSpacing/>
            </w:pPr>
            <w:r w:rsidRPr="006B334D">
              <w:t>Automātiski nodrošina iestatīto temperatūru kamerā robežās no telpas temperatūras +5°C vismaz līdz 45 °C ar soli ne lielāku kā 0,1°C;</w:t>
            </w:r>
          </w:p>
          <w:p w:rsidR="002B2F04" w:rsidRPr="006B334D" w:rsidRDefault="002B2F04" w:rsidP="002B2F04">
            <w:pPr>
              <w:pStyle w:val="ListParagraph"/>
              <w:widowControl/>
              <w:numPr>
                <w:ilvl w:val="0"/>
                <w:numId w:val="36"/>
              </w:numPr>
              <w:contextualSpacing/>
            </w:pPr>
            <w:r w:rsidRPr="006B334D">
              <w:t>Automātiski nodrošina iestatīto mitruma kontroli kamerā</w:t>
            </w:r>
            <w:r>
              <w:t xml:space="preserve"> vismaz</w:t>
            </w:r>
            <w:r w:rsidRPr="006B334D">
              <w:t xml:space="preserve"> līdz</w:t>
            </w:r>
            <w:r>
              <w:t xml:space="preserve"> </w:t>
            </w:r>
            <w:r w:rsidRPr="006B334D">
              <w:t xml:space="preserve">85% relatīvā gaisa mitruma; </w:t>
            </w:r>
          </w:p>
          <w:p w:rsidR="002B2F04" w:rsidRPr="006B334D" w:rsidRDefault="002B2F04" w:rsidP="002B2F04">
            <w:pPr>
              <w:pStyle w:val="ListParagraph"/>
              <w:widowControl/>
              <w:numPr>
                <w:ilvl w:val="0"/>
                <w:numId w:val="36"/>
              </w:numPr>
              <w:contextualSpacing/>
            </w:pPr>
            <w:r w:rsidRPr="006B334D">
              <w:t>Iekārtas ievades spriegums 100 līdz 240 V;</w:t>
            </w:r>
          </w:p>
          <w:p w:rsidR="002B2F04" w:rsidRPr="006B334D" w:rsidRDefault="002B2F04" w:rsidP="002B2F04">
            <w:pPr>
              <w:pStyle w:val="ListParagraph"/>
              <w:widowControl/>
              <w:numPr>
                <w:ilvl w:val="0"/>
                <w:numId w:val="36"/>
              </w:numPr>
              <w:contextualSpacing/>
            </w:pPr>
            <w:r w:rsidRPr="006B334D">
              <w:t>O</w:t>
            </w:r>
            <w:r w:rsidRPr="006B334D">
              <w:rPr>
                <w:vertAlign w:val="subscript"/>
              </w:rPr>
              <w:t xml:space="preserve">2 </w:t>
            </w:r>
            <w:r w:rsidRPr="006B334D">
              <w:t>sensora mērījumi nepārtraukti tiek parādīti ekrānā;</w:t>
            </w:r>
          </w:p>
          <w:p w:rsidR="002B2F04" w:rsidRPr="006B334D" w:rsidRDefault="002B2F04" w:rsidP="002B2F04">
            <w:pPr>
              <w:pStyle w:val="ListParagraph"/>
              <w:widowControl/>
              <w:numPr>
                <w:ilvl w:val="0"/>
                <w:numId w:val="36"/>
              </w:numPr>
              <w:contextualSpacing/>
            </w:pPr>
            <w:r w:rsidRPr="006B334D">
              <w:t>Iekārtas paraugu ievades sistēmas ciklam jābūt ne ilgākam kā 35s</w:t>
            </w:r>
          </w:p>
          <w:p w:rsidR="002B2F04" w:rsidRPr="006B334D" w:rsidRDefault="002B2F04" w:rsidP="005E3DC2">
            <w:pPr>
              <w:pStyle w:val="ListParagraph"/>
              <w:ind w:left="360"/>
            </w:pPr>
          </w:p>
          <w:p w:rsidR="002B2F04" w:rsidRPr="006B334D" w:rsidRDefault="002B2F04" w:rsidP="005E3DC2">
            <w:proofErr w:type="spellStart"/>
            <w:r w:rsidRPr="006B334D">
              <w:lastRenderedPageBreak/>
              <w:t>Hipoksijas</w:t>
            </w:r>
            <w:proofErr w:type="spellEnd"/>
            <w:r w:rsidRPr="006B334D">
              <w:t xml:space="preserve"> kamerai jābūt aprīkotai ar:</w:t>
            </w:r>
          </w:p>
          <w:p w:rsidR="002B2F04" w:rsidRPr="006B334D" w:rsidRDefault="002B2F04" w:rsidP="002B2F04">
            <w:pPr>
              <w:pStyle w:val="ListParagraph"/>
              <w:widowControl/>
              <w:numPr>
                <w:ilvl w:val="0"/>
                <w:numId w:val="37"/>
              </w:numPr>
              <w:ind w:left="317"/>
              <w:contextualSpacing/>
            </w:pPr>
            <w:r w:rsidRPr="006B334D">
              <w:t xml:space="preserve">Tiešo piekļuves portu, izmantojot </w:t>
            </w:r>
            <w:proofErr w:type="spellStart"/>
            <w:r w:rsidRPr="006B334D">
              <w:t>bezcimdu</w:t>
            </w:r>
            <w:proofErr w:type="spellEnd"/>
            <w:r w:rsidRPr="006B334D">
              <w:t xml:space="preserve"> piedurkņu sistēmu;</w:t>
            </w:r>
          </w:p>
          <w:p w:rsidR="002B2F04" w:rsidRPr="006B334D" w:rsidRDefault="002B2F04" w:rsidP="002B2F04">
            <w:pPr>
              <w:pStyle w:val="ListParagraph"/>
              <w:widowControl/>
              <w:numPr>
                <w:ilvl w:val="0"/>
                <w:numId w:val="37"/>
              </w:numPr>
              <w:ind w:left="317"/>
              <w:contextualSpacing/>
            </w:pPr>
            <w:r w:rsidRPr="006B334D">
              <w:t>Vienas šūnu plates ievades sistēmu, kas neietekmē gāzu koncentrāciju un citus apstākļus kamerā;</w:t>
            </w:r>
          </w:p>
          <w:p w:rsidR="002B2F04" w:rsidRPr="006B334D" w:rsidRDefault="002B2F04" w:rsidP="002B2F04">
            <w:pPr>
              <w:pStyle w:val="ListParagraph"/>
              <w:widowControl/>
              <w:numPr>
                <w:ilvl w:val="0"/>
                <w:numId w:val="37"/>
              </w:numPr>
              <w:ind w:left="317"/>
              <w:contextualSpacing/>
            </w:pPr>
            <w:r w:rsidRPr="006B334D">
              <w:t>Regulējamu iekšējās kameras apgaismojumu;</w:t>
            </w:r>
          </w:p>
          <w:p w:rsidR="002B2F04" w:rsidRPr="006B334D" w:rsidRDefault="002B2F04" w:rsidP="002B2F04">
            <w:pPr>
              <w:pStyle w:val="ListParagraph"/>
              <w:widowControl/>
              <w:numPr>
                <w:ilvl w:val="0"/>
                <w:numId w:val="37"/>
              </w:numPr>
              <w:ind w:left="317"/>
              <w:contextualSpacing/>
            </w:pPr>
            <w:r w:rsidRPr="006B334D">
              <w:t>Enerģiju taupošu fluorescen</w:t>
            </w:r>
            <w:r>
              <w:t>ces</w:t>
            </w:r>
            <w:r w:rsidRPr="006B334D">
              <w:t xml:space="preserve"> lampu;</w:t>
            </w:r>
          </w:p>
          <w:p w:rsidR="002B2F04" w:rsidRPr="006B334D" w:rsidRDefault="002B2F04" w:rsidP="002B2F04">
            <w:pPr>
              <w:pStyle w:val="ListParagraph"/>
              <w:widowControl/>
              <w:numPr>
                <w:ilvl w:val="0"/>
                <w:numId w:val="37"/>
              </w:numPr>
              <w:ind w:left="317"/>
              <w:contextualSpacing/>
            </w:pPr>
            <w:r w:rsidRPr="006B334D">
              <w:t>Iekšējo 220V kontaktligzdu;</w:t>
            </w:r>
          </w:p>
          <w:p w:rsidR="002B2F04" w:rsidRPr="006B334D" w:rsidRDefault="002B2F04" w:rsidP="002B2F04">
            <w:pPr>
              <w:pStyle w:val="ListParagraph"/>
              <w:widowControl/>
              <w:numPr>
                <w:ilvl w:val="0"/>
                <w:numId w:val="37"/>
              </w:numPr>
              <w:ind w:left="317"/>
              <w:contextualSpacing/>
            </w:pPr>
            <w:proofErr w:type="spellStart"/>
            <w:r w:rsidRPr="006B334D">
              <w:t>Detoksikācijas</w:t>
            </w:r>
            <w:proofErr w:type="spellEnd"/>
            <w:r w:rsidRPr="006B334D">
              <w:t xml:space="preserve"> maisiņu (oglekļa);</w:t>
            </w:r>
          </w:p>
          <w:p w:rsidR="002B2F04" w:rsidRPr="006B334D" w:rsidRDefault="002B2F04" w:rsidP="002B2F04">
            <w:pPr>
              <w:pStyle w:val="ListParagraph"/>
              <w:widowControl/>
              <w:numPr>
                <w:ilvl w:val="0"/>
                <w:numId w:val="37"/>
              </w:numPr>
              <w:ind w:left="317"/>
              <w:contextualSpacing/>
            </w:pPr>
            <w:r w:rsidRPr="006B334D">
              <w:t>Vienu pāri piedurkņu;</w:t>
            </w:r>
          </w:p>
          <w:p w:rsidR="002B2F04" w:rsidRPr="006B334D" w:rsidRDefault="002B2F04" w:rsidP="002B2F04">
            <w:pPr>
              <w:pStyle w:val="ListParagraph"/>
              <w:widowControl/>
              <w:numPr>
                <w:ilvl w:val="0"/>
                <w:numId w:val="37"/>
              </w:numPr>
              <w:ind w:left="317"/>
              <w:contextualSpacing/>
            </w:pPr>
            <w:r w:rsidRPr="006B334D">
              <w:t>Tīrīšanas komplektu;</w:t>
            </w:r>
          </w:p>
          <w:p w:rsidR="002B2F04" w:rsidRPr="006B334D" w:rsidRDefault="002B2F04" w:rsidP="002B2F04">
            <w:pPr>
              <w:pStyle w:val="ListParagraph"/>
              <w:widowControl/>
              <w:numPr>
                <w:ilvl w:val="0"/>
                <w:numId w:val="37"/>
              </w:numPr>
              <w:ind w:left="317"/>
              <w:contextualSpacing/>
            </w:pPr>
            <w:r w:rsidRPr="006B334D">
              <w:t>Gāzes kontroles programmnodrošinājumu;</w:t>
            </w:r>
          </w:p>
          <w:p w:rsidR="002B2F04" w:rsidRPr="006B334D" w:rsidRDefault="002B2F04" w:rsidP="002B2F04">
            <w:pPr>
              <w:pStyle w:val="ListParagraph"/>
              <w:widowControl/>
              <w:numPr>
                <w:ilvl w:val="0"/>
                <w:numId w:val="37"/>
              </w:numPr>
              <w:ind w:left="317"/>
              <w:contextualSpacing/>
            </w:pPr>
            <w:r w:rsidRPr="006B334D">
              <w:t xml:space="preserve">Vismaz 6 mēnešu nepārtrauktu notikumu reģistrāciju atmiņā un iespēju </w:t>
            </w:r>
            <w:proofErr w:type="spellStart"/>
            <w:r w:rsidRPr="006B334D">
              <w:t>lejuplādēt</w:t>
            </w:r>
            <w:proofErr w:type="spellEnd"/>
            <w:r w:rsidRPr="006B334D">
              <w:t xml:space="preserve"> datus caur USB komunikācijas portu;</w:t>
            </w:r>
          </w:p>
          <w:p w:rsidR="002B2F04" w:rsidRPr="006B334D" w:rsidRDefault="002B2F04" w:rsidP="002B2F04">
            <w:pPr>
              <w:pStyle w:val="ListParagraph"/>
              <w:widowControl/>
              <w:numPr>
                <w:ilvl w:val="0"/>
                <w:numId w:val="37"/>
              </w:numPr>
              <w:ind w:left="317"/>
              <w:contextualSpacing/>
            </w:pPr>
            <w:r w:rsidRPr="006B334D">
              <w:t>Skābekļa kalibrēšanas iespēju;</w:t>
            </w:r>
          </w:p>
          <w:p w:rsidR="002B2F04" w:rsidRPr="006B334D" w:rsidRDefault="002B2F04" w:rsidP="002B2F04">
            <w:pPr>
              <w:pStyle w:val="ListParagraph"/>
              <w:widowControl/>
              <w:numPr>
                <w:ilvl w:val="0"/>
                <w:numId w:val="37"/>
              </w:numPr>
              <w:ind w:left="317"/>
              <w:contextualSpacing/>
            </w:pPr>
            <w:r w:rsidRPr="006B334D">
              <w:t>Ciklu programmēšanas iespējām;</w:t>
            </w:r>
          </w:p>
          <w:p w:rsidR="002B2F04" w:rsidRPr="006B334D" w:rsidRDefault="002B2F04" w:rsidP="002B2F04">
            <w:pPr>
              <w:pStyle w:val="ListParagraph"/>
              <w:widowControl/>
              <w:numPr>
                <w:ilvl w:val="0"/>
                <w:numId w:val="37"/>
              </w:numPr>
              <w:ind w:left="317"/>
              <w:contextualSpacing/>
            </w:pPr>
            <w:r w:rsidRPr="006B334D">
              <w:t>Brīdinājuma signalizācijas sistēmu, kas paziņo par novirzēm no uzstādītās temperatūras, mitruma un gāzu koncentrāciju vērtībām.</w:t>
            </w:r>
          </w:p>
        </w:tc>
      </w:tr>
      <w:tr w:rsidR="002B2F04" w:rsidRPr="006B334D" w:rsidTr="005E3DC2">
        <w:tc>
          <w:tcPr>
            <w:tcW w:w="1668" w:type="dxa"/>
          </w:tcPr>
          <w:p w:rsidR="002B2F04" w:rsidRPr="006B334D" w:rsidRDefault="002B2F04" w:rsidP="005E3DC2">
            <w:r w:rsidRPr="006B334D">
              <w:lastRenderedPageBreak/>
              <w:t>Papildus aprīkojums</w:t>
            </w:r>
          </w:p>
        </w:tc>
        <w:tc>
          <w:tcPr>
            <w:tcW w:w="7512" w:type="dxa"/>
          </w:tcPr>
          <w:p w:rsidR="002B2F04" w:rsidRPr="006B334D" w:rsidRDefault="002B2F04" w:rsidP="005E3DC2">
            <w:proofErr w:type="spellStart"/>
            <w:r w:rsidRPr="006B334D">
              <w:t>Hipoksijas</w:t>
            </w:r>
            <w:proofErr w:type="spellEnd"/>
            <w:r w:rsidRPr="006B334D">
              <w:t xml:space="preserve"> kamerai nepieciešamais papildaprīkojums:</w:t>
            </w:r>
          </w:p>
          <w:p w:rsidR="002B2F04" w:rsidRPr="006B334D" w:rsidRDefault="002B2F04" w:rsidP="002B2F04">
            <w:pPr>
              <w:pStyle w:val="ListParagraph"/>
              <w:widowControl/>
              <w:numPr>
                <w:ilvl w:val="0"/>
                <w:numId w:val="37"/>
              </w:numPr>
              <w:ind w:left="317"/>
              <w:contextualSpacing/>
            </w:pPr>
            <w:r w:rsidRPr="006B334D">
              <w:t>Gāzu maisītāj</w:t>
            </w:r>
            <w:r>
              <w:t>s</w:t>
            </w:r>
            <w:r w:rsidRPr="006B334D">
              <w:t xml:space="preserve"> </w:t>
            </w:r>
            <w:r>
              <w:t>(</w:t>
            </w:r>
            <w:proofErr w:type="spellStart"/>
            <w:r w:rsidRPr="006B334D">
              <w:t>anoksijas</w:t>
            </w:r>
            <w:proofErr w:type="spellEnd"/>
            <w:r w:rsidRPr="006B334D">
              <w:t xml:space="preserve"> un </w:t>
            </w:r>
            <w:proofErr w:type="spellStart"/>
            <w:r w:rsidRPr="006B334D">
              <w:t>hipoksijas</w:t>
            </w:r>
            <w:proofErr w:type="spellEnd"/>
            <w:r w:rsidRPr="006B334D">
              <w:t xml:space="preserve"> režīmam</w:t>
            </w:r>
            <w:r>
              <w:t>)</w:t>
            </w:r>
            <w:r w:rsidRPr="006B334D">
              <w:t>, kas atrodas ārpus darba stacijas;</w:t>
            </w:r>
          </w:p>
          <w:p w:rsidR="002B2F04" w:rsidRPr="006B334D" w:rsidRDefault="002B2F04" w:rsidP="002B2F04">
            <w:pPr>
              <w:pStyle w:val="ListParagraph"/>
              <w:widowControl/>
              <w:numPr>
                <w:ilvl w:val="0"/>
                <w:numId w:val="32"/>
              </w:numPr>
              <w:contextualSpacing/>
            </w:pPr>
            <w:r w:rsidRPr="006B334D">
              <w:t xml:space="preserve">Universāls daudz-vadu blīvslēgs, kas ļauj </w:t>
            </w:r>
            <w:proofErr w:type="spellStart"/>
            <w:r w:rsidRPr="006B334D">
              <w:t>hipoksijas</w:t>
            </w:r>
            <w:proofErr w:type="spellEnd"/>
            <w:r w:rsidRPr="006B334D">
              <w:t xml:space="preserve"> darba stacijai no ārpuses pievadīt ne mazāk kā 6 vadus, saglabājot hermētiskumu;</w:t>
            </w:r>
          </w:p>
          <w:p w:rsidR="002B2F04" w:rsidRPr="006B334D" w:rsidRDefault="002B2F04" w:rsidP="002B2F04">
            <w:pPr>
              <w:pStyle w:val="ListParagraph"/>
              <w:widowControl/>
              <w:numPr>
                <w:ilvl w:val="0"/>
                <w:numId w:val="32"/>
              </w:numPr>
              <w:contextualSpacing/>
            </w:pPr>
            <w:r w:rsidRPr="006B334D">
              <w:t>Digitāls O</w:t>
            </w:r>
            <w:r w:rsidRPr="006B334D">
              <w:rPr>
                <w:vertAlign w:val="subscript"/>
              </w:rPr>
              <w:t xml:space="preserve">2 </w:t>
            </w:r>
            <w:r w:rsidRPr="006B334D">
              <w:t>līmeņa un temperatūras pārbaudes</w:t>
            </w:r>
            <w:r w:rsidRPr="006B334D">
              <w:rPr>
                <w:vertAlign w:val="subscript"/>
              </w:rPr>
              <w:t xml:space="preserve"> </w:t>
            </w:r>
            <w:r w:rsidRPr="006B334D">
              <w:t>mērītājs ar sensoru lietošanai darba stacijā:</w:t>
            </w:r>
          </w:p>
          <w:p w:rsidR="002B2F04" w:rsidRPr="006B334D" w:rsidRDefault="002B2F04" w:rsidP="002B2F04">
            <w:pPr>
              <w:pStyle w:val="ListParagraph"/>
              <w:widowControl/>
              <w:numPr>
                <w:ilvl w:val="0"/>
                <w:numId w:val="38"/>
              </w:numPr>
              <w:contextualSpacing/>
            </w:pPr>
            <w:r w:rsidRPr="006B334D">
              <w:t>O</w:t>
            </w:r>
            <w:r w:rsidRPr="006B334D">
              <w:rPr>
                <w:vertAlign w:val="subscript"/>
              </w:rPr>
              <w:t xml:space="preserve">2 </w:t>
            </w:r>
            <w:r w:rsidRPr="006B334D">
              <w:t>koncentrācijas noteikšana robežās no 0 līdz 100% (gāzveida);</w:t>
            </w:r>
          </w:p>
          <w:p w:rsidR="002B2F04" w:rsidRPr="006B334D" w:rsidRDefault="002B2F04" w:rsidP="002B2F04">
            <w:pPr>
              <w:pStyle w:val="ListParagraph"/>
              <w:widowControl/>
              <w:numPr>
                <w:ilvl w:val="0"/>
                <w:numId w:val="38"/>
              </w:numPr>
              <w:contextualSpacing/>
            </w:pPr>
            <w:r w:rsidRPr="006B334D">
              <w:t>Temperatūras noteikšana robežās no  -20 līdz 50 °C;</w:t>
            </w:r>
          </w:p>
          <w:p w:rsidR="002B2F04" w:rsidRPr="006B334D" w:rsidRDefault="002B2F04" w:rsidP="002B2F04">
            <w:pPr>
              <w:pStyle w:val="ListParagraph"/>
              <w:widowControl/>
              <w:numPr>
                <w:ilvl w:val="0"/>
                <w:numId w:val="38"/>
              </w:numPr>
              <w:contextualSpacing/>
            </w:pPr>
            <w:r w:rsidRPr="006B334D">
              <w:t>Skābekļa koncentrācijas mērījuma precizitāte (25 °C grādu temperatūrā): ±0.1%;</w:t>
            </w:r>
          </w:p>
          <w:p w:rsidR="002B2F04" w:rsidRPr="006B334D" w:rsidRDefault="002B2F04" w:rsidP="002B2F04">
            <w:pPr>
              <w:pStyle w:val="ListParagraph"/>
              <w:widowControl/>
              <w:numPr>
                <w:ilvl w:val="0"/>
                <w:numId w:val="38"/>
              </w:numPr>
              <w:contextualSpacing/>
            </w:pPr>
            <w:r w:rsidRPr="006B334D">
              <w:t>Ierīces ārējie izmēri ne lielāki kā:</w:t>
            </w:r>
          </w:p>
          <w:p w:rsidR="002B2F04" w:rsidRPr="006B334D" w:rsidRDefault="002B2F04" w:rsidP="005E3DC2">
            <w:pPr>
              <w:pStyle w:val="ListParagraph"/>
            </w:pPr>
            <w:r w:rsidRPr="006B334D">
              <w:t xml:space="preserve">              platums 100 mm, </w:t>
            </w:r>
          </w:p>
          <w:p w:rsidR="002B2F04" w:rsidRPr="006B334D" w:rsidRDefault="002B2F04" w:rsidP="005E3DC2">
            <w:pPr>
              <w:pStyle w:val="ListParagraph"/>
            </w:pPr>
            <w:r w:rsidRPr="006B334D">
              <w:t xml:space="preserve">              garums 150 mm,</w:t>
            </w:r>
          </w:p>
          <w:p w:rsidR="002B2F04" w:rsidRPr="006B334D" w:rsidRDefault="002B2F04" w:rsidP="002B2F04">
            <w:pPr>
              <w:pStyle w:val="ListParagraph"/>
              <w:widowControl/>
              <w:numPr>
                <w:ilvl w:val="0"/>
                <w:numId w:val="31"/>
              </w:numPr>
              <w:ind w:left="720"/>
              <w:contextualSpacing/>
            </w:pPr>
            <w:r w:rsidRPr="006B334D">
              <w:t>Instrumenta</w:t>
            </w:r>
            <w:r w:rsidRPr="006B334D">
              <w:rPr>
                <w:lang w:eastAsia="lv-LV"/>
              </w:rPr>
              <w:t xml:space="preserve"> svaram jābūt ne lielākam kā 400 g.</w:t>
            </w:r>
          </w:p>
          <w:p w:rsidR="002B2F04" w:rsidRPr="006B334D" w:rsidRDefault="002B2F04" w:rsidP="002B2F04">
            <w:pPr>
              <w:pStyle w:val="ListParagraph"/>
              <w:widowControl/>
              <w:numPr>
                <w:ilvl w:val="0"/>
                <w:numId w:val="31"/>
              </w:numPr>
              <w:ind w:left="720"/>
              <w:contextualSpacing/>
            </w:pPr>
            <w:r w:rsidRPr="006B334D">
              <w:t>Iekārtai jābūt komplektācijā ar datu apstrādes programmnodrošinājumu</w:t>
            </w:r>
          </w:p>
        </w:tc>
      </w:tr>
      <w:tr w:rsidR="002B2F04" w:rsidRPr="006B334D" w:rsidTr="005E3DC2">
        <w:tc>
          <w:tcPr>
            <w:tcW w:w="1668" w:type="dxa"/>
          </w:tcPr>
          <w:p w:rsidR="002B2F04" w:rsidRPr="006B334D" w:rsidRDefault="002B2F04" w:rsidP="005E3DC2">
            <w:r>
              <w:t>Pakalpojumi</w:t>
            </w:r>
          </w:p>
        </w:tc>
        <w:tc>
          <w:tcPr>
            <w:tcW w:w="7512" w:type="dxa"/>
          </w:tcPr>
          <w:p w:rsidR="002B2F04" w:rsidRPr="006B334D" w:rsidRDefault="002B2F04" w:rsidP="005E3DC2">
            <w:r>
              <w:t xml:space="preserve">Iekārtas </w:t>
            </w:r>
            <w:r w:rsidRPr="00156B0E">
              <w:t>i</w:t>
            </w:r>
            <w:r w:rsidRPr="006B334D">
              <w:t>nstalācija un lietotāja apmācība darba vietā.</w:t>
            </w:r>
          </w:p>
          <w:p w:rsidR="002B2F04" w:rsidRPr="006B334D" w:rsidRDefault="002B2F04" w:rsidP="005E3DC2"/>
        </w:tc>
      </w:tr>
      <w:tr w:rsidR="002B2F04" w:rsidRPr="006B334D" w:rsidTr="005E3DC2">
        <w:tc>
          <w:tcPr>
            <w:tcW w:w="1668" w:type="dxa"/>
          </w:tcPr>
          <w:p w:rsidR="002B2F04" w:rsidRPr="006B334D" w:rsidDel="00EA6EB0" w:rsidRDefault="002B2F04" w:rsidP="005E3DC2">
            <w:r>
              <w:t>Garantija</w:t>
            </w:r>
          </w:p>
        </w:tc>
        <w:tc>
          <w:tcPr>
            <w:tcW w:w="7512" w:type="dxa"/>
          </w:tcPr>
          <w:p w:rsidR="002B2F04" w:rsidRPr="006B334D" w:rsidRDefault="002B2F04" w:rsidP="005E3DC2">
            <w:r w:rsidRPr="00EA6EB0">
              <w:t>Garantijas laiks ne mazāks kā 2 gadi.</w:t>
            </w:r>
          </w:p>
        </w:tc>
      </w:tr>
    </w:tbl>
    <w:p w:rsidR="002B2F04" w:rsidRPr="006B334D" w:rsidRDefault="002B2F04" w:rsidP="002B2F04">
      <w:pPr>
        <w:pStyle w:val="ListParagraph"/>
        <w:rPr>
          <w:b/>
        </w:rPr>
      </w:pPr>
    </w:p>
    <w:p w:rsidR="006378B0" w:rsidRDefault="006378B0" w:rsidP="008D14B6"/>
    <w:p w:rsidR="006378B0" w:rsidRDefault="006378B0" w:rsidP="008D14B6"/>
    <w:p w:rsidR="00E60B31" w:rsidRDefault="00E60B31" w:rsidP="008D14B6"/>
    <w:p w:rsidR="005E3DC2" w:rsidRDefault="00E60B31">
      <w:pPr>
        <w:widowControl/>
      </w:pPr>
      <w:r>
        <w:br w:type="page"/>
      </w:r>
    </w:p>
    <w:p w:rsidR="005E3DC2" w:rsidRDefault="005E3DC2">
      <w:pPr>
        <w:widowControl/>
      </w:pPr>
    </w:p>
    <w:p w:rsidR="005E3DC2" w:rsidRPr="005A5F92" w:rsidRDefault="005E3DC2" w:rsidP="00237B7B">
      <w:pPr>
        <w:pStyle w:val="ListParagraph"/>
        <w:widowControl/>
        <w:numPr>
          <w:ilvl w:val="0"/>
          <w:numId w:val="25"/>
        </w:numPr>
        <w:jc w:val="center"/>
        <w:outlineLvl w:val="1"/>
        <w:rPr>
          <w:b/>
          <w:sz w:val="28"/>
          <w:szCs w:val="28"/>
          <w:highlight w:val="yellow"/>
        </w:rPr>
      </w:pPr>
      <w:bookmarkStart w:id="54" w:name="_Toc489976890"/>
      <w:r w:rsidRPr="005A5F92">
        <w:rPr>
          <w:b/>
          <w:sz w:val="28"/>
          <w:szCs w:val="28"/>
          <w:highlight w:val="yellow"/>
        </w:rPr>
        <w:t>Lote</w:t>
      </w:r>
      <w:bookmarkEnd w:id="54"/>
    </w:p>
    <w:p w:rsidR="005E3DC2" w:rsidRDefault="005E3DC2" w:rsidP="00237B7B">
      <w:pPr>
        <w:ind w:left="360"/>
        <w:jc w:val="center"/>
        <w:outlineLvl w:val="1"/>
        <w:rPr>
          <w:b/>
          <w:sz w:val="28"/>
        </w:rPr>
      </w:pPr>
      <w:bookmarkStart w:id="55" w:name="_Toc489447240"/>
      <w:bookmarkStart w:id="56" w:name="_Toc489976891"/>
      <w:r w:rsidRPr="005E3DC2">
        <w:rPr>
          <w:b/>
          <w:sz w:val="28"/>
        </w:rPr>
        <w:t xml:space="preserve">Histoloģijas un </w:t>
      </w:r>
      <w:proofErr w:type="spellStart"/>
      <w:r w:rsidRPr="005E3DC2">
        <w:rPr>
          <w:b/>
          <w:sz w:val="28"/>
        </w:rPr>
        <w:t>imunohistoloģijas</w:t>
      </w:r>
      <w:proofErr w:type="spellEnd"/>
      <w:r w:rsidRPr="005E3DC2">
        <w:rPr>
          <w:b/>
          <w:sz w:val="28"/>
        </w:rPr>
        <w:t xml:space="preserve"> un audu automātiskās apstrādes aparatūra</w:t>
      </w:r>
      <w:bookmarkEnd w:id="55"/>
      <w:bookmarkEnd w:id="56"/>
    </w:p>
    <w:p w:rsidR="005E3DC2" w:rsidRDefault="005E3DC2" w:rsidP="005E3DC2">
      <w:pPr>
        <w:ind w:left="360"/>
        <w:jc w:val="center"/>
      </w:pPr>
    </w:p>
    <w:p w:rsidR="005E3DC2" w:rsidRDefault="005E3DC2" w:rsidP="005E3DC2">
      <w:pPr>
        <w:ind w:left="-142"/>
      </w:pPr>
    </w:p>
    <w:p w:rsidR="005E3DC2" w:rsidRDefault="005E3DC2" w:rsidP="005E3DC2">
      <w:pPr>
        <w:ind w:left="-142"/>
      </w:pPr>
    </w:p>
    <w:p w:rsidR="005E3DC2" w:rsidRPr="00D10F5A" w:rsidRDefault="005E3DC2" w:rsidP="005E3DC2">
      <w:pPr>
        <w:ind w:left="-142"/>
      </w:pPr>
      <w:r w:rsidRPr="00D10F5A">
        <w:t xml:space="preserve">Lai uzlabotu un palielinātu pētnieciskā darba kapacitāti, paredzēts iegādāties aparatūru audu sagatavošanai morfoloģiskām un </w:t>
      </w:r>
      <w:proofErr w:type="spellStart"/>
      <w:r w:rsidRPr="00D10F5A">
        <w:t>imunohistoloģiskām</w:t>
      </w:r>
      <w:proofErr w:type="spellEnd"/>
      <w:r w:rsidRPr="00D10F5A">
        <w:t xml:space="preserve"> analīzēm. Automātiskais </w:t>
      </w:r>
      <w:proofErr w:type="spellStart"/>
      <w:r w:rsidRPr="00D10F5A">
        <w:t>mikrotoms</w:t>
      </w:r>
      <w:proofErr w:type="spellEnd"/>
      <w:r w:rsidRPr="00D10F5A">
        <w:t xml:space="preserve"> nodrošina ātru, efektīvu un kvalitatīvu audu griezumu sagatavošanu. Automātiskais audu griezumu krāsotājs veic histoloģisko un citoloģisko paraugu automatizētu fiksēšanu, krāsošanu un paraugu nožāvēšanu. Ierīces aprīkotas ar skārienjutīgo ekrānu, kas audu sagatavošanu padara lietotājam draudzīgu. </w:t>
      </w:r>
    </w:p>
    <w:p w:rsidR="005E3DC2" w:rsidRDefault="005E3DC2" w:rsidP="005E3DC2">
      <w:pPr>
        <w:rPr>
          <w:b/>
        </w:rPr>
      </w:pPr>
    </w:p>
    <w:p w:rsidR="005E3DC2" w:rsidRPr="00D10F5A" w:rsidRDefault="005E3DC2" w:rsidP="005E3DC2">
      <w:pPr>
        <w:rPr>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7740"/>
      </w:tblGrid>
      <w:tr w:rsidR="005E3DC2" w:rsidRPr="00D10F5A" w:rsidTr="005E3DC2">
        <w:tc>
          <w:tcPr>
            <w:tcW w:w="1980" w:type="dxa"/>
            <w:vAlign w:val="center"/>
          </w:tcPr>
          <w:p w:rsidR="005E3DC2" w:rsidRPr="00D10F5A" w:rsidRDefault="005E3DC2" w:rsidP="005E3DC2">
            <w:pPr>
              <w:jc w:val="center"/>
              <w:rPr>
                <w:b/>
              </w:rPr>
            </w:pPr>
            <w:r w:rsidRPr="00D10F5A">
              <w:rPr>
                <w:b/>
                <w:i/>
              </w:rPr>
              <w:t>Pozīcija</w:t>
            </w:r>
          </w:p>
        </w:tc>
        <w:tc>
          <w:tcPr>
            <w:tcW w:w="7740" w:type="dxa"/>
            <w:vAlign w:val="center"/>
          </w:tcPr>
          <w:p w:rsidR="005E3DC2" w:rsidRPr="00D10F5A" w:rsidRDefault="005E3DC2" w:rsidP="005E3DC2">
            <w:pPr>
              <w:jc w:val="center"/>
              <w:rPr>
                <w:b/>
              </w:rPr>
            </w:pPr>
            <w:r w:rsidRPr="00D10F5A">
              <w:rPr>
                <w:b/>
                <w:i/>
              </w:rPr>
              <w:t>Apraksts/Prasības</w:t>
            </w:r>
          </w:p>
        </w:tc>
      </w:tr>
      <w:tr w:rsidR="005E3DC2" w:rsidRPr="00D10F5A" w:rsidTr="005E3DC2">
        <w:trPr>
          <w:trHeight w:val="381"/>
        </w:trPr>
        <w:tc>
          <w:tcPr>
            <w:tcW w:w="9720" w:type="dxa"/>
            <w:gridSpan w:val="2"/>
            <w:vAlign w:val="center"/>
          </w:tcPr>
          <w:p w:rsidR="005E3DC2" w:rsidRPr="00D10F5A" w:rsidRDefault="005E3DC2" w:rsidP="005E3DC2">
            <w:pPr>
              <w:rPr>
                <w:b/>
              </w:rPr>
            </w:pPr>
            <w:r w:rsidRPr="00D10F5A">
              <w:rPr>
                <w:b/>
              </w:rPr>
              <w:t>Audu sagatavošanas ierīce</w:t>
            </w:r>
          </w:p>
        </w:tc>
      </w:tr>
      <w:tr w:rsidR="005E3DC2" w:rsidRPr="00D10F5A" w:rsidTr="005E3DC2">
        <w:tc>
          <w:tcPr>
            <w:tcW w:w="1980" w:type="dxa"/>
          </w:tcPr>
          <w:p w:rsidR="005E3DC2" w:rsidRPr="00D10F5A" w:rsidRDefault="005E3DC2" w:rsidP="005E3DC2">
            <w:r w:rsidRPr="00D10F5A">
              <w:t>Rotācijas audu sagatavošanas ierīcei jāatbilst sekojošām prasībām:</w:t>
            </w:r>
          </w:p>
        </w:tc>
        <w:tc>
          <w:tcPr>
            <w:tcW w:w="7740" w:type="dxa"/>
          </w:tcPr>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Rotācijas audu sagatavošanas ierīcei jābūt aprīkotai ar vismaz 9 reaģentu traukiem un vismaz 3 apsildāmajiem parafīna traukiem;</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Viena trauka tilpumam jābūt vismaz 1.8l</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Ierīcei jābūt aprīkotai ar vismaz diviem groziem, kuros ievieto kasetes ar audu paraugiem, lai veiktu to apstrādi;</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Ierīcei vienlaikus jāspēj apstrādāt vismaz 240 paraugu kasešu;</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Ierīcei jābūt aprīkotai ar oglekļa filtru, kas nofiltrē reaģentu izgarojumus, kā arī katram reaģentu traukam jābūt aprīkotam ar vāku, kas novērš reaģentu izgarojumu izplatību;</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Audu apstrādes laikā grozam, atrodoties reaģentā, jārotē abos virzienos (pulksteņrādītāj-virzienā un pretēji), tādējādi uzlabojot audu sagatavošanas procesu;</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 xml:space="preserve">Ierīcei jābūt iestatāmam grozu rotācijas un </w:t>
            </w:r>
            <w:r>
              <w:rPr>
                <w:color w:val="000000" w:themeColor="text1"/>
              </w:rPr>
              <w:t>iegremdēšanas</w:t>
            </w:r>
            <w:r w:rsidRPr="00D10F5A">
              <w:rPr>
                <w:color w:val="000000" w:themeColor="text1"/>
              </w:rPr>
              <w:t xml:space="preserve"> laikam nepieciešamajā reaģentā;</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 xml:space="preserve">Pirms pārcelšanas uz nākamo reaģentu trauku, ierīcei grozi ar kasetēm </w:t>
            </w:r>
            <w:proofErr w:type="spellStart"/>
            <w:r w:rsidRPr="00D10F5A">
              <w:rPr>
                <w:color w:val="000000" w:themeColor="text1"/>
              </w:rPr>
              <w:t>jācentrifugē</w:t>
            </w:r>
            <w:proofErr w:type="spellEnd"/>
            <w:r w:rsidRPr="00D10F5A">
              <w:rPr>
                <w:color w:val="000000" w:themeColor="text1"/>
              </w:rPr>
              <w:t>, lai atbrīvotos no reaģentu atlikumiem;</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Ierīcei jābūt iespējai iestatīt atlikto procesa sākšanas laiku;</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Ierīcei jābūt aprīkotai ar bateriju/enerģijas avotu</w:t>
            </w:r>
            <w:bookmarkStart w:id="57" w:name="_GoBack"/>
            <w:bookmarkEnd w:id="57"/>
            <w:r w:rsidRPr="00D10F5A">
              <w:rPr>
                <w:color w:val="000000" w:themeColor="text1"/>
              </w:rPr>
              <w:t>, kas ļauj pabeigt vai turpināt procesu strāvas padeves pārrāvuma gadījumā;</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Ierīcei jābūt aprīkotai ar vismaz 8 audu apstrādes programmām;</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t xml:space="preserve">Ierīcei jābūt novietojamai uz laboratorijas galda un ierīces augstumam jābūt ne lielākam par 55 cm noslēgtā veidā un 75 cm atvērtā veidā; ierīces diametrs </w:t>
            </w:r>
            <w:r>
              <w:t>- ne</w:t>
            </w:r>
            <w:r w:rsidRPr="00D10F5A">
              <w:t xml:space="preserve"> lielāks par 90 cm; ierīces svars </w:t>
            </w:r>
            <w:r>
              <w:t xml:space="preserve">ne vairāk kā </w:t>
            </w:r>
            <w:r w:rsidRPr="00D10F5A">
              <w:t>75 kg;</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t xml:space="preserve">Audu sagatavošanas ierīcei </w:t>
            </w:r>
            <w:r w:rsidRPr="00D10F5A">
              <w:rPr>
                <w:color w:val="000000" w:themeColor="text1"/>
              </w:rPr>
              <w:t xml:space="preserve">jābūt savietojamai ar Latvijas elektrotīklu (220-230 V, 50 </w:t>
            </w:r>
            <w:proofErr w:type="spellStart"/>
            <w:r w:rsidRPr="00D10F5A">
              <w:rPr>
                <w:color w:val="000000" w:themeColor="text1"/>
              </w:rPr>
              <w:t>kHz</w:t>
            </w:r>
            <w:proofErr w:type="spellEnd"/>
            <w:r w:rsidRPr="00D10F5A">
              <w:rPr>
                <w:color w:val="000000" w:themeColor="text1"/>
              </w:rPr>
              <w:t>);</w:t>
            </w:r>
          </w:p>
          <w:p w:rsidR="005E3DC2" w:rsidRPr="00D10F5A" w:rsidRDefault="005E3DC2" w:rsidP="005E3DC2">
            <w:pPr>
              <w:pStyle w:val="ListParagraph"/>
              <w:widowControl/>
              <w:numPr>
                <w:ilvl w:val="0"/>
                <w:numId w:val="41"/>
              </w:numPr>
              <w:ind w:left="360" w:hanging="283"/>
              <w:contextualSpacing/>
              <w:rPr>
                <w:color w:val="000000" w:themeColor="text1"/>
              </w:rPr>
            </w:pPr>
            <w:r w:rsidRPr="00D10F5A">
              <w:rPr>
                <w:color w:val="000000" w:themeColor="text1"/>
              </w:rPr>
              <w:t>Komplektācijā papildus jābūt:</w:t>
            </w:r>
          </w:p>
          <w:p w:rsidR="005E3DC2" w:rsidRPr="00D10F5A" w:rsidRDefault="005E3DC2" w:rsidP="005E3DC2">
            <w:pPr>
              <w:pStyle w:val="ListParagraph"/>
              <w:widowControl/>
              <w:numPr>
                <w:ilvl w:val="1"/>
                <w:numId w:val="41"/>
              </w:numPr>
              <w:ind w:left="786" w:hanging="142"/>
              <w:contextualSpacing/>
              <w:rPr>
                <w:color w:val="000000" w:themeColor="text1"/>
              </w:rPr>
            </w:pPr>
            <w:r w:rsidRPr="00D10F5A">
              <w:rPr>
                <w:color w:val="000000" w:themeColor="text1"/>
              </w:rPr>
              <w:t>vismaz 1000 audu kasetēm ar vāciņiem audu sagatavošanai ieguldīšanai parafīnā;</w:t>
            </w:r>
          </w:p>
          <w:p w:rsidR="005E3DC2" w:rsidRPr="00D10F5A" w:rsidRDefault="005E3DC2" w:rsidP="005E3DC2">
            <w:pPr>
              <w:pStyle w:val="ListParagraph"/>
              <w:widowControl/>
              <w:numPr>
                <w:ilvl w:val="1"/>
                <w:numId w:val="41"/>
              </w:numPr>
              <w:ind w:left="786" w:hanging="142"/>
              <w:contextualSpacing/>
              <w:rPr>
                <w:color w:val="000000" w:themeColor="text1"/>
              </w:rPr>
            </w:pPr>
            <w:r w:rsidRPr="00D10F5A">
              <w:rPr>
                <w:color w:val="000000" w:themeColor="text1"/>
              </w:rPr>
              <w:t>vismaz 8 kg parafīna/vaska maisījuma granulām ar kušanas temperatūru no 56-57ºC, kas paredzēts audu iestrādāšanai</w:t>
            </w:r>
          </w:p>
        </w:tc>
      </w:tr>
      <w:tr w:rsidR="005E3DC2" w:rsidRPr="00D10F5A" w:rsidTr="005E3DC2">
        <w:trPr>
          <w:trHeight w:val="381"/>
        </w:trPr>
        <w:tc>
          <w:tcPr>
            <w:tcW w:w="9720" w:type="dxa"/>
            <w:gridSpan w:val="2"/>
            <w:vAlign w:val="center"/>
          </w:tcPr>
          <w:p w:rsidR="005E3DC2" w:rsidRPr="00D10F5A" w:rsidRDefault="005E3DC2" w:rsidP="005E3DC2">
            <w:pPr>
              <w:rPr>
                <w:b/>
              </w:rPr>
            </w:pPr>
            <w:r w:rsidRPr="00D10F5A">
              <w:rPr>
                <w:b/>
              </w:rPr>
              <w:t xml:space="preserve">Automātiskais </w:t>
            </w:r>
            <w:proofErr w:type="spellStart"/>
            <w:r w:rsidRPr="00D10F5A">
              <w:rPr>
                <w:b/>
              </w:rPr>
              <w:t>mikrotoms</w:t>
            </w:r>
            <w:proofErr w:type="spellEnd"/>
          </w:p>
        </w:tc>
      </w:tr>
      <w:tr w:rsidR="005E3DC2" w:rsidRPr="00D10F5A" w:rsidTr="005E3DC2">
        <w:tc>
          <w:tcPr>
            <w:tcW w:w="1980" w:type="dxa"/>
          </w:tcPr>
          <w:p w:rsidR="005E3DC2" w:rsidRPr="00D10F5A" w:rsidRDefault="005E3DC2" w:rsidP="005E3DC2">
            <w:r w:rsidRPr="00D10F5A">
              <w:t xml:space="preserve">Automātiskajam </w:t>
            </w:r>
            <w:proofErr w:type="spellStart"/>
            <w:r w:rsidRPr="00D10F5A">
              <w:t>mikrotomam</w:t>
            </w:r>
            <w:proofErr w:type="spellEnd"/>
            <w:r w:rsidRPr="00D10F5A">
              <w:t xml:space="preserve"> </w:t>
            </w:r>
            <w:r w:rsidRPr="00D10F5A">
              <w:lastRenderedPageBreak/>
              <w:t>jāatbilst sekojošām prasībām:</w:t>
            </w:r>
          </w:p>
        </w:tc>
        <w:tc>
          <w:tcPr>
            <w:tcW w:w="7740" w:type="dxa"/>
          </w:tcPr>
          <w:p w:rsidR="005E3DC2" w:rsidRPr="00D10F5A" w:rsidRDefault="005E3DC2" w:rsidP="005E3DC2">
            <w:pPr>
              <w:pStyle w:val="ListParagraph"/>
              <w:widowControl/>
              <w:numPr>
                <w:ilvl w:val="0"/>
                <w:numId w:val="41"/>
              </w:numPr>
              <w:ind w:left="360" w:hanging="283"/>
              <w:contextualSpacing/>
            </w:pPr>
            <w:proofErr w:type="spellStart"/>
            <w:r w:rsidRPr="00D10F5A">
              <w:lastRenderedPageBreak/>
              <w:t>Mikrotomam</w:t>
            </w:r>
            <w:proofErr w:type="spellEnd"/>
            <w:r w:rsidRPr="00D10F5A">
              <w:t xml:space="preserve"> jābūt aprīkotam ar motoru, kas nodrošina audu paraugu automātisku griešanu un </w:t>
            </w:r>
            <w:proofErr w:type="spellStart"/>
            <w:r w:rsidRPr="00D10F5A">
              <w:t>mikrotomam</w:t>
            </w:r>
            <w:proofErr w:type="spellEnd"/>
            <w:r w:rsidRPr="00D10F5A">
              <w:t xml:space="preserve"> jādarbojas pēc rotācijas principa;</w:t>
            </w:r>
          </w:p>
          <w:p w:rsidR="005E3DC2" w:rsidRPr="00D10F5A" w:rsidRDefault="005E3DC2" w:rsidP="005E3DC2">
            <w:pPr>
              <w:pStyle w:val="ListParagraph"/>
              <w:widowControl/>
              <w:numPr>
                <w:ilvl w:val="0"/>
                <w:numId w:val="41"/>
              </w:numPr>
              <w:ind w:left="360" w:hanging="283"/>
              <w:contextualSpacing/>
            </w:pPr>
            <w:proofErr w:type="spellStart"/>
            <w:r w:rsidRPr="00D10F5A">
              <w:lastRenderedPageBreak/>
              <w:t>Mikrotomu</w:t>
            </w:r>
            <w:proofErr w:type="spellEnd"/>
            <w:r w:rsidRPr="00D10F5A">
              <w:t xml:space="preserve"> jābūt iespējams lietot un sagatavot audu griezumus manuālā režīmā;</w:t>
            </w:r>
          </w:p>
          <w:p w:rsidR="005E3DC2" w:rsidRPr="00D10F5A" w:rsidRDefault="005E3DC2" w:rsidP="005E3DC2">
            <w:pPr>
              <w:pStyle w:val="ListParagraph"/>
              <w:widowControl/>
              <w:numPr>
                <w:ilvl w:val="0"/>
                <w:numId w:val="41"/>
              </w:numPr>
              <w:ind w:left="360" w:hanging="283"/>
              <w:contextualSpacing/>
            </w:pPr>
            <w:r w:rsidRPr="00D10F5A">
              <w:t>Jābūt iespējai paraugu griešana nodrošināt divējādi: ar pilnu roktura apgriezienu un ar roktura svārstību metodi.</w:t>
            </w:r>
          </w:p>
          <w:p w:rsidR="005E3DC2" w:rsidRPr="00D10F5A" w:rsidRDefault="005E3DC2" w:rsidP="005E3DC2">
            <w:pPr>
              <w:pStyle w:val="ListParagraph"/>
              <w:widowControl/>
              <w:numPr>
                <w:ilvl w:val="0"/>
                <w:numId w:val="41"/>
              </w:numPr>
              <w:ind w:left="360" w:hanging="283"/>
              <w:contextualSpacing/>
            </w:pPr>
            <w:r w:rsidRPr="00D10F5A">
              <w:t xml:space="preserve">Automātiskās darbības laikā jābūt iespējai iebīdīt </w:t>
            </w:r>
            <w:proofErr w:type="spellStart"/>
            <w:r w:rsidRPr="00D10F5A">
              <w:t>mikrotoma</w:t>
            </w:r>
            <w:proofErr w:type="spellEnd"/>
            <w:r w:rsidRPr="00D10F5A">
              <w:t xml:space="preserve"> manuālās griešanas rokturi, lai samazinātu lietotāja traumu iespējamību;</w:t>
            </w:r>
          </w:p>
          <w:p w:rsidR="005E3DC2" w:rsidRPr="00D10F5A" w:rsidRDefault="005E3DC2" w:rsidP="005E3DC2">
            <w:pPr>
              <w:pStyle w:val="ListParagraph"/>
              <w:widowControl/>
              <w:numPr>
                <w:ilvl w:val="0"/>
                <w:numId w:val="41"/>
              </w:numPr>
              <w:ind w:left="360" w:hanging="283"/>
              <w:contextualSpacing/>
            </w:pPr>
            <w:proofErr w:type="spellStart"/>
            <w:r w:rsidRPr="00D10F5A">
              <w:t>Mikrotomam</w:t>
            </w:r>
            <w:proofErr w:type="spellEnd"/>
            <w:r w:rsidRPr="00D10F5A">
              <w:t xml:space="preserve"> jābūt gan audu griezumu griešanas funkciju (</w:t>
            </w:r>
            <w:proofErr w:type="spellStart"/>
            <w:r w:rsidRPr="00D10F5A">
              <w:t>sectioning</w:t>
            </w:r>
            <w:proofErr w:type="spellEnd"/>
            <w:r w:rsidRPr="00D10F5A">
              <w:t>), gan apgriešanas funkciju (</w:t>
            </w:r>
            <w:proofErr w:type="spellStart"/>
            <w:r w:rsidRPr="00D10F5A">
              <w:t>trimming</w:t>
            </w:r>
            <w:proofErr w:type="spellEnd"/>
            <w:r w:rsidRPr="00D10F5A">
              <w:t>);</w:t>
            </w:r>
          </w:p>
          <w:p w:rsidR="005E3DC2" w:rsidRPr="00D10F5A" w:rsidRDefault="005E3DC2" w:rsidP="005E3DC2">
            <w:pPr>
              <w:pStyle w:val="ListParagraph"/>
              <w:widowControl/>
              <w:numPr>
                <w:ilvl w:val="0"/>
                <w:numId w:val="41"/>
              </w:numPr>
              <w:ind w:left="360" w:hanging="283"/>
              <w:contextualSpacing/>
            </w:pPr>
            <w:r w:rsidRPr="00D10F5A">
              <w:t>Audu griezumu griešanas funkcijai jānodrošina iespēja sagatavot audu griezumus biezumā vismaz no 0</w:t>
            </w:r>
            <w:r>
              <w:t>,</w:t>
            </w:r>
            <w:r w:rsidRPr="00D10F5A">
              <w:t>5 līdz 100 µm;</w:t>
            </w:r>
          </w:p>
          <w:p w:rsidR="005E3DC2" w:rsidRPr="00D10F5A" w:rsidRDefault="005E3DC2" w:rsidP="005E3DC2">
            <w:pPr>
              <w:pStyle w:val="ListParagraph"/>
              <w:widowControl/>
              <w:numPr>
                <w:ilvl w:val="0"/>
                <w:numId w:val="41"/>
              </w:numPr>
              <w:ind w:left="360" w:hanging="283"/>
              <w:contextualSpacing/>
            </w:pPr>
            <w:r w:rsidRPr="00D10F5A">
              <w:t>Audu griezumu griešanas režīmā viena griezuma biezums regulējams ar sekojošu intervālu:</w:t>
            </w:r>
          </w:p>
          <w:p w:rsidR="005E3DC2" w:rsidRPr="00D10F5A" w:rsidRDefault="005E3DC2" w:rsidP="005E3DC2">
            <w:pPr>
              <w:pStyle w:val="ListParagraph"/>
              <w:widowControl/>
              <w:numPr>
                <w:ilvl w:val="1"/>
                <w:numId w:val="41"/>
              </w:numPr>
              <w:contextualSpacing/>
            </w:pPr>
            <w:r w:rsidRPr="00D10F5A">
              <w:t>līdz 5 µm solis ne lielāks par 0</w:t>
            </w:r>
            <w:r>
              <w:t>,</w:t>
            </w:r>
            <w:r w:rsidRPr="00D10F5A">
              <w:t>5 µm;</w:t>
            </w:r>
          </w:p>
          <w:p w:rsidR="005E3DC2" w:rsidRPr="00D10F5A" w:rsidRDefault="005E3DC2" w:rsidP="005E3DC2">
            <w:pPr>
              <w:pStyle w:val="ListParagraph"/>
              <w:widowControl/>
              <w:numPr>
                <w:ilvl w:val="1"/>
                <w:numId w:val="41"/>
              </w:numPr>
              <w:contextualSpacing/>
            </w:pPr>
            <w:r w:rsidRPr="00D10F5A">
              <w:t>no 5 µm līdz 20 µm solis ne lielāks par 1 µm;</w:t>
            </w:r>
          </w:p>
          <w:p w:rsidR="005E3DC2" w:rsidRPr="00D10F5A" w:rsidRDefault="005E3DC2" w:rsidP="005E3DC2">
            <w:pPr>
              <w:pStyle w:val="ListParagraph"/>
              <w:widowControl/>
              <w:numPr>
                <w:ilvl w:val="1"/>
                <w:numId w:val="41"/>
              </w:numPr>
              <w:contextualSpacing/>
            </w:pPr>
            <w:r w:rsidRPr="00D10F5A">
              <w:t>no 20 µm līdz 30 µm solis ne lielāks par 2 µm;</w:t>
            </w:r>
          </w:p>
          <w:p w:rsidR="005E3DC2" w:rsidRPr="00D10F5A" w:rsidRDefault="005E3DC2" w:rsidP="005E3DC2">
            <w:pPr>
              <w:pStyle w:val="ListParagraph"/>
              <w:widowControl/>
              <w:numPr>
                <w:ilvl w:val="1"/>
                <w:numId w:val="41"/>
              </w:numPr>
              <w:contextualSpacing/>
            </w:pPr>
            <w:r w:rsidRPr="00D10F5A">
              <w:t>no 30 µm līdz 60 µm solis ne lielāks par 5 µm;</w:t>
            </w:r>
          </w:p>
          <w:p w:rsidR="005E3DC2" w:rsidRPr="00D10F5A" w:rsidRDefault="005E3DC2" w:rsidP="005E3DC2">
            <w:pPr>
              <w:pStyle w:val="ListParagraph"/>
              <w:widowControl/>
              <w:numPr>
                <w:ilvl w:val="1"/>
                <w:numId w:val="41"/>
              </w:numPr>
              <w:contextualSpacing/>
            </w:pPr>
            <w:r w:rsidRPr="00D10F5A">
              <w:t>no 60 µm līdz 100 µm solis ne lielāks par 10 µm;</w:t>
            </w:r>
          </w:p>
          <w:p w:rsidR="005E3DC2" w:rsidRPr="00D10F5A" w:rsidRDefault="005E3DC2" w:rsidP="005E3DC2">
            <w:pPr>
              <w:pStyle w:val="ListParagraph"/>
              <w:widowControl/>
              <w:numPr>
                <w:ilvl w:val="0"/>
                <w:numId w:val="41"/>
              </w:numPr>
              <w:ind w:left="360" w:hanging="283"/>
              <w:contextualSpacing/>
            </w:pPr>
            <w:r w:rsidRPr="00D10F5A">
              <w:t>Audu apgriešanas funkcijai jānodrošina iespēja nogriezt parauga griezumu biezumā vismaz no 5 µm līdz 500 µm;</w:t>
            </w:r>
          </w:p>
          <w:p w:rsidR="005E3DC2" w:rsidRPr="00D10F5A" w:rsidRDefault="005E3DC2" w:rsidP="005E3DC2">
            <w:pPr>
              <w:pStyle w:val="ListParagraph"/>
              <w:widowControl/>
              <w:numPr>
                <w:ilvl w:val="0"/>
                <w:numId w:val="41"/>
              </w:numPr>
              <w:ind w:left="360" w:hanging="283"/>
              <w:contextualSpacing/>
            </w:pPr>
            <w:r w:rsidRPr="00D10F5A">
              <w:t>Viena grieziena naža vertikālajai kustībai jābūt vismaz 7</w:t>
            </w:r>
            <w:r>
              <w:t>0</w:t>
            </w:r>
            <w:r w:rsidRPr="00D10F5A">
              <w:t xml:space="preserve"> mm;</w:t>
            </w:r>
          </w:p>
          <w:p w:rsidR="005E3DC2" w:rsidRPr="00D10F5A" w:rsidRDefault="005E3DC2" w:rsidP="005E3DC2">
            <w:pPr>
              <w:pStyle w:val="ListParagraph"/>
              <w:widowControl/>
              <w:numPr>
                <w:ilvl w:val="0"/>
                <w:numId w:val="41"/>
              </w:numPr>
              <w:ind w:left="360" w:hanging="283"/>
              <w:contextualSpacing/>
            </w:pPr>
            <w:r w:rsidRPr="00D10F5A">
              <w:t xml:space="preserve">Pēc katra veiktā griezuma audu paraugam pirms atgriešanās izejas pozīcijā jāveic atpakaļ gājiens vismaz 40 µm, lai netiktu bojāts </w:t>
            </w:r>
            <w:proofErr w:type="spellStart"/>
            <w:r w:rsidRPr="00D10F5A">
              <w:t>mikrotoma</w:t>
            </w:r>
            <w:proofErr w:type="spellEnd"/>
            <w:r w:rsidRPr="00D10F5A">
              <w:t xml:space="preserve"> asmens; jābūt arī iespējai šo funkciju atslēgt;</w:t>
            </w:r>
          </w:p>
          <w:p w:rsidR="005E3DC2" w:rsidRPr="00D10F5A" w:rsidRDefault="005E3DC2" w:rsidP="005E3DC2">
            <w:pPr>
              <w:pStyle w:val="ListParagraph"/>
              <w:widowControl/>
              <w:numPr>
                <w:ilvl w:val="0"/>
                <w:numId w:val="41"/>
              </w:numPr>
              <w:ind w:left="360" w:hanging="283"/>
              <w:contextualSpacing/>
            </w:pPr>
            <w:proofErr w:type="spellStart"/>
            <w:r w:rsidRPr="00D10F5A">
              <w:t>Mikrotomam</w:t>
            </w:r>
            <w:proofErr w:type="spellEnd"/>
            <w:r w:rsidRPr="00D10F5A">
              <w:t xml:space="preserve"> jānodrošina motorizēta parauga virzīšana uz priekšu un atpakaļ;</w:t>
            </w:r>
          </w:p>
          <w:p w:rsidR="005E3DC2" w:rsidRPr="00D10F5A" w:rsidRDefault="005E3DC2" w:rsidP="005E3DC2">
            <w:pPr>
              <w:pStyle w:val="ListParagraph"/>
              <w:widowControl/>
              <w:numPr>
                <w:ilvl w:val="0"/>
                <w:numId w:val="41"/>
              </w:numPr>
              <w:ind w:left="360" w:hanging="283"/>
              <w:contextualSpacing/>
            </w:pPr>
            <w:r w:rsidRPr="00D10F5A">
              <w:t xml:space="preserve">Darbības laikā uz </w:t>
            </w:r>
            <w:proofErr w:type="spellStart"/>
            <w:r w:rsidRPr="00D10F5A">
              <w:t>mikrotoma</w:t>
            </w:r>
            <w:proofErr w:type="spellEnd"/>
            <w:r w:rsidRPr="00D10F5A">
              <w:t xml:space="preserve"> displeja jābūt redzamai informācijai vismaz par sekojošiem </w:t>
            </w:r>
            <w:proofErr w:type="spellStart"/>
            <w:r w:rsidRPr="00D10F5A">
              <w:t>mikrotoma</w:t>
            </w:r>
            <w:proofErr w:type="spellEnd"/>
            <w:r w:rsidRPr="00D10F5A">
              <w:t xml:space="preserve"> iestatītajiem darbības parametriem: griezuma biezums, apgriešanas soļa lielums, griezumu biezumu summa, parauga atpakaļ gājiena funkcijas stāvoklis;</w:t>
            </w:r>
          </w:p>
          <w:p w:rsidR="005E3DC2" w:rsidRPr="00D10F5A" w:rsidRDefault="005E3DC2" w:rsidP="005E3DC2">
            <w:pPr>
              <w:pStyle w:val="ListParagraph"/>
              <w:widowControl/>
              <w:numPr>
                <w:ilvl w:val="0"/>
                <w:numId w:val="41"/>
              </w:numPr>
              <w:ind w:left="360" w:hanging="283"/>
              <w:contextualSpacing/>
            </w:pPr>
            <w:proofErr w:type="spellStart"/>
            <w:r w:rsidRPr="00D10F5A">
              <w:t>Mikrotomam</w:t>
            </w:r>
            <w:proofErr w:type="spellEnd"/>
            <w:r w:rsidRPr="00D10F5A">
              <w:t xml:space="preserve"> jābūt aprīkotam ar “Stop” pogu, kas apstādina griešanas procesu;</w:t>
            </w:r>
          </w:p>
          <w:p w:rsidR="005E3DC2" w:rsidRPr="00D10F5A" w:rsidRDefault="005E3DC2" w:rsidP="005E3DC2">
            <w:pPr>
              <w:pStyle w:val="ListParagraph"/>
              <w:widowControl/>
              <w:numPr>
                <w:ilvl w:val="0"/>
                <w:numId w:val="41"/>
              </w:numPr>
              <w:ind w:left="360" w:hanging="283"/>
              <w:contextualSpacing/>
            </w:pPr>
            <w:proofErr w:type="spellStart"/>
            <w:r w:rsidRPr="00D10F5A">
              <w:t>Mikrotomam</w:t>
            </w:r>
            <w:proofErr w:type="spellEnd"/>
            <w:r w:rsidRPr="00D10F5A">
              <w:t xml:space="preserve"> automātiskajā režīmā jānodrošina vismaz 4 griešanas režīmi: intervāla, vienkāršais (vienreizējais), nepārtrauktais un griezumu sagatavošana no vairākām parauga vietām;</w:t>
            </w:r>
          </w:p>
          <w:p w:rsidR="005E3DC2" w:rsidRPr="00D10F5A" w:rsidRDefault="005E3DC2" w:rsidP="005E3DC2">
            <w:pPr>
              <w:pStyle w:val="ListParagraph"/>
              <w:widowControl/>
              <w:numPr>
                <w:ilvl w:val="0"/>
                <w:numId w:val="41"/>
              </w:numPr>
              <w:ind w:left="360" w:hanging="283"/>
              <w:contextualSpacing/>
            </w:pPr>
            <w:proofErr w:type="spellStart"/>
            <w:r w:rsidRPr="00D10F5A">
              <w:t>Mikrotoma</w:t>
            </w:r>
            <w:proofErr w:type="spellEnd"/>
            <w:r w:rsidRPr="00D10F5A">
              <w:t xml:space="preserve"> griešanas ātrumam jābūt regulējamam vismaz robežās no 0 līdz 450 mm/s;</w:t>
            </w:r>
          </w:p>
          <w:p w:rsidR="005E3DC2" w:rsidRPr="00D10F5A" w:rsidRDefault="005E3DC2" w:rsidP="005E3DC2">
            <w:pPr>
              <w:pStyle w:val="ListParagraph"/>
              <w:widowControl/>
              <w:numPr>
                <w:ilvl w:val="0"/>
                <w:numId w:val="41"/>
              </w:numPr>
              <w:ind w:left="360" w:hanging="283"/>
              <w:contextualSpacing/>
            </w:pPr>
            <w:proofErr w:type="spellStart"/>
            <w:r w:rsidRPr="00D10F5A">
              <w:t>Mikrotoma</w:t>
            </w:r>
            <w:proofErr w:type="spellEnd"/>
            <w:r w:rsidRPr="00D10F5A">
              <w:t xml:space="preserve"> parauga turēšanas galvai jābūt ar iespēju mainīt parauga novietojumu attiecībā pret nazi vismaz sekojošos leņķos: pa X asi 8°, pa Y asi 8° un rotāciju (Z ass) pa</w:t>
            </w:r>
            <w:r>
              <w:t>r</w:t>
            </w:r>
            <w:r w:rsidRPr="00D10F5A">
              <w:t xml:space="preserve"> 360°;</w:t>
            </w:r>
          </w:p>
          <w:p w:rsidR="005E3DC2" w:rsidRPr="00D10F5A" w:rsidRDefault="005E3DC2" w:rsidP="005E3DC2">
            <w:pPr>
              <w:pStyle w:val="ListParagraph"/>
              <w:widowControl/>
              <w:numPr>
                <w:ilvl w:val="0"/>
                <w:numId w:val="41"/>
              </w:numPr>
              <w:ind w:left="360" w:hanging="283"/>
              <w:contextualSpacing/>
            </w:pPr>
            <w:r w:rsidRPr="00D10F5A">
              <w:t>Ierīcei jābūt novietojamai uz galda un ierīces izmēriem jābūt ne lielākiem par 50 x 60 x 30 cm (dziļums x platums x augstums) un svars nedrīkst pārsniegt 35 kg;</w:t>
            </w:r>
          </w:p>
          <w:p w:rsidR="005E3DC2" w:rsidRPr="00D10F5A" w:rsidRDefault="005E3DC2" w:rsidP="005E3DC2">
            <w:pPr>
              <w:pStyle w:val="ListParagraph"/>
              <w:widowControl/>
              <w:numPr>
                <w:ilvl w:val="0"/>
                <w:numId w:val="41"/>
              </w:numPr>
              <w:ind w:left="360" w:hanging="283"/>
              <w:contextualSpacing/>
            </w:pPr>
            <w:r w:rsidRPr="00D10F5A">
              <w:t xml:space="preserve">Automātiskajam </w:t>
            </w:r>
            <w:proofErr w:type="spellStart"/>
            <w:r w:rsidRPr="00D10F5A">
              <w:t>mikrotomam</w:t>
            </w:r>
            <w:proofErr w:type="spellEnd"/>
            <w:r w:rsidRPr="00D10F5A">
              <w:t xml:space="preserve"> jābūt savietojamam ar Latvijas elektrotīklu (220-230 V, 50 </w:t>
            </w:r>
            <w:proofErr w:type="spellStart"/>
            <w:r w:rsidRPr="00D10F5A">
              <w:t>kHz</w:t>
            </w:r>
            <w:proofErr w:type="spellEnd"/>
            <w:r w:rsidRPr="00D10F5A">
              <w:t>);</w:t>
            </w:r>
          </w:p>
          <w:p w:rsidR="005E3DC2" w:rsidRPr="00D10F5A" w:rsidRDefault="005E3DC2" w:rsidP="005E3DC2">
            <w:pPr>
              <w:pStyle w:val="ListParagraph"/>
              <w:widowControl/>
              <w:numPr>
                <w:ilvl w:val="0"/>
                <w:numId w:val="41"/>
              </w:numPr>
              <w:ind w:left="360" w:hanging="283"/>
              <w:contextualSpacing/>
            </w:pPr>
            <w:r w:rsidRPr="00D10F5A">
              <w:t xml:space="preserve">Komplektā </w:t>
            </w:r>
            <w:proofErr w:type="spellStart"/>
            <w:r w:rsidRPr="00D10F5A">
              <w:t>mikrotomam</w:t>
            </w:r>
            <w:proofErr w:type="spellEnd"/>
            <w:r w:rsidRPr="00D10F5A">
              <w:t xml:space="preserve"> jābūt: </w:t>
            </w:r>
          </w:p>
          <w:p w:rsidR="005E3DC2" w:rsidRPr="00D10F5A" w:rsidRDefault="005E3DC2" w:rsidP="005E3DC2">
            <w:pPr>
              <w:pStyle w:val="ListParagraph"/>
              <w:widowControl/>
              <w:numPr>
                <w:ilvl w:val="1"/>
                <w:numId w:val="41"/>
              </w:numPr>
              <w:ind w:left="927" w:hanging="283"/>
              <w:contextualSpacing/>
            </w:pPr>
            <w:r w:rsidRPr="00D10F5A">
              <w:t xml:space="preserve">parauga skavai, kurā iestiprināt parafīnā iestrādāto paraugu, un skavai dažādu izmēru kasešu iestiprināšanai. Abām skavām jābūt saderīgām ar </w:t>
            </w:r>
            <w:proofErr w:type="spellStart"/>
            <w:r w:rsidRPr="00D10F5A">
              <w:t>mikrotomu</w:t>
            </w:r>
            <w:proofErr w:type="spellEnd"/>
            <w:r w:rsidRPr="00D10F5A">
              <w:t>;</w:t>
            </w:r>
          </w:p>
          <w:p w:rsidR="005E3DC2" w:rsidRPr="00D10F5A" w:rsidRDefault="005E3DC2" w:rsidP="005E3DC2">
            <w:pPr>
              <w:pStyle w:val="ListParagraph"/>
              <w:widowControl/>
              <w:numPr>
                <w:ilvl w:val="1"/>
                <w:numId w:val="41"/>
              </w:numPr>
              <w:ind w:left="927" w:hanging="283"/>
              <w:contextualSpacing/>
            </w:pPr>
            <w:r w:rsidRPr="00D10F5A">
              <w:t xml:space="preserve">ar </w:t>
            </w:r>
            <w:proofErr w:type="spellStart"/>
            <w:r w:rsidRPr="00D10F5A">
              <w:t>mikrotomu</w:t>
            </w:r>
            <w:proofErr w:type="spellEnd"/>
            <w:r w:rsidRPr="00D10F5A">
              <w:t xml:space="preserve"> saderīgam asmeņu turētājam, kurā var ievietot gan zema, gan augsta profila asmeņus, gan volframa karbīda asmeņus un ar kuru iespējams mainīt griešanas leņķi;</w:t>
            </w:r>
          </w:p>
          <w:p w:rsidR="005E3DC2" w:rsidRPr="00D10F5A" w:rsidRDefault="005E3DC2" w:rsidP="005E3DC2">
            <w:pPr>
              <w:pStyle w:val="ListParagraph"/>
              <w:widowControl/>
              <w:numPr>
                <w:ilvl w:val="1"/>
                <w:numId w:val="41"/>
              </w:numPr>
              <w:ind w:left="927" w:hanging="283"/>
              <w:contextualSpacing/>
            </w:pPr>
            <w:r w:rsidRPr="00D10F5A">
              <w:lastRenderedPageBreak/>
              <w:t xml:space="preserve">ar </w:t>
            </w:r>
            <w:proofErr w:type="spellStart"/>
            <w:r w:rsidRPr="00D10F5A">
              <w:t>mikrotomu</w:t>
            </w:r>
            <w:proofErr w:type="spellEnd"/>
            <w:r w:rsidRPr="00D10F5A">
              <w:t xml:space="preserve"> saderīgai metāla vanniņai nederīgo griezumu savākšanai. Vanniņā jābūt integrētām roku atbalsta zonām;</w:t>
            </w:r>
          </w:p>
          <w:p w:rsidR="005E3DC2" w:rsidRPr="00D10F5A" w:rsidRDefault="005E3DC2" w:rsidP="005E3DC2">
            <w:pPr>
              <w:pStyle w:val="ListParagraph"/>
              <w:widowControl/>
              <w:numPr>
                <w:ilvl w:val="1"/>
                <w:numId w:val="41"/>
              </w:numPr>
              <w:ind w:left="927" w:hanging="283"/>
              <w:contextualSpacing/>
            </w:pPr>
            <w:r w:rsidRPr="00D10F5A">
              <w:t>100 zema un 100 augsta profila asmeņiem.</w:t>
            </w:r>
          </w:p>
        </w:tc>
      </w:tr>
      <w:tr w:rsidR="005E3DC2" w:rsidRPr="00D10F5A" w:rsidTr="005E3DC2">
        <w:trPr>
          <w:trHeight w:val="381"/>
        </w:trPr>
        <w:tc>
          <w:tcPr>
            <w:tcW w:w="9720" w:type="dxa"/>
            <w:gridSpan w:val="2"/>
            <w:vAlign w:val="center"/>
          </w:tcPr>
          <w:p w:rsidR="005E3DC2" w:rsidRPr="00D10F5A" w:rsidRDefault="005E3DC2" w:rsidP="005E3DC2">
            <w:pPr>
              <w:rPr>
                <w:b/>
              </w:rPr>
            </w:pPr>
            <w:r w:rsidRPr="00D10F5A">
              <w:rPr>
                <w:b/>
              </w:rPr>
              <w:lastRenderedPageBreak/>
              <w:t>Automātiskais priekšmetstikliņu krāsotājs</w:t>
            </w:r>
          </w:p>
        </w:tc>
      </w:tr>
      <w:tr w:rsidR="005E3DC2" w:rsidRPr="00D10F5A" w:rsidTr="005E3DC2">
        <w:tc>
          <w:tcPr>
            <w:tcW w:w="1980" w:type="dxa"/>
          </w:tcPr>
          <w:p w:rsidR="005E3DC2" w:rsidRPr="00D10F5A" w:rsidRDefault="005E3DC2" w:rsidP="005E3DC2">
            <w:r w:rsidRPr="00D10F5A">
              <w:t>Automātiskajam priekšmetstikliņu krāsotājam jāatbilst sekojošām prasībām:</w:t>
            </w:r>
          </w:p>
        </w:tc>
        <w:tc>
          <w:tcPr>
            <w:tcW w:w="7740" w:type="dxa"/>
          </w:tcPr>
          <w:p w:rsidR="005E3DC2" w:rsidRPr="00D10F5A" w:rsidRDefault="005E3DC2" w:rsidP="005E3DC2">
            <w:pPr>
              <w:pStyle w:val="ListParagraph"/>
              <w:widowControl/>
              <w:numPr>
                <w:ilvl w:val="0"/>
                <w:numId w:val="41"/>
              </w:numPr>
              <w:ind w:left="360" w:hanging="283"/>
              <w:contextualSpacing/>
            </w:pPr>
            <w:r w:rsidRPr="00D10F5A">
              <w:t>Automātiskajam priekšmetstikliņu krāsotājam atkarībā no protokola jāspēj nokrāsot vismaz 200 stikliņi stundā un jāspēj veikt vismaz divus krāsošanas protokolus vienlaicīgi;</w:t>
            </w:r>
          </w:p>
          <w:p w:rsidR="005E3DC2" w:rsidRPr="00D10F5A" w:rsidRDefault="005E3DC2" w:rsidP="005E3DC2">
            <w:pPr>
              <w:pStyle w:val="ListParagraph"/>
              <w:widowControl/>
              <w:numPr>
                <w:ilvl w:val="0"/>
                <w:numId w:val="41"/>
              </w:numPr>
              <w:ind w:left="360" w:hanging="283"/>
              <w:contextualSpacing/>
            </w:pPr>
            <w:r w:rsidRPr="00D10F5A">
              <w:t>Priekšmetstikliņu krāsošanas rezervuāriem jābūt novietotiem divos līmeņos, lai taupītu laboratorijas galda vietu un ierīces izmēriem jābūt ne lielākiem par 90 x 80 x 100 cm (dziļums x platums x augstums) un svars nedrīkst pārsniegt 100 kg;</w:t>
            </w:r>
          </w:p>
          <w:p w:rsidR="005E3DC2" w:rsidRPr="00D10F5A" w:rsidRDefault="005E3DC2" w:rsidP="005E3DC2">
            <w:pPr>
              <w:pStyle w:val="ListParagraph"/>
              <w:widowControl/>
              <w:numPr>
                <w:ilvl w:val="0"/>
                <w:numId w:val="41"/>
              </w:numPr>
              <w:ind w:left="360" w:hanging="283"/>
              <w:contextualSpacing/>
            </w:pPr>
            <w:r w:rsidRPr="00D10F5A">
              <w:t>Ierīcei jābūt aprīkotai ar skārienjutīgu ekrānu, ko izmanto krāsošanas programmu un citu iestatījumu iestādīšanai un kas attēlo krāsošanas gaitu;</w:t>
            </w:r>
          </w:p>
          <w:p w:rsidR="005E3DC2" w:rsidRPr="00D10F5A" w:rsidRDefault="005E3DC2" w:rsidP="005E3DC2">
            <w:pPr>
              <w:pStyle w:val="ListParagraph"/>
              <w:widowControl/>
              <w:numPr>
                <w:ilvl w:val="0"/>
                <w:numId w:val="41"/>
              </w:numPr>
              <w:ind w:left="360" w:hanging="283"/>
              <w:contextualSpacing/>
            </w:pPr>
            <w:r w:rsidRPr="00D10F5A">
              <w:t xml:space="preserve">Ierīcei jābūt aprīkotai ar vismaz 4 skalošanas stacijām, kas nodrošina skalošanu ar </w:t>
            </w:r>
            <w:proofErr w:type="spellStart"/>
            <w:r w:rsidRPr="00D10F5A">
              <w:t>caurtekošu</w:t>
            </w:r>
            <w:proofErr w:type="spellEnd"/>
            <w:r w:rsidRPr="00D10F5A">
              <w:t xml:space="preserve"> ūdeni; vismaz 4 apsildāmām stacijām un vismaz 25 reaģentu stacijām. Viena rezervuāra/stacijas tilpumam jābūt robežās no 300</w:t>
            </w:r>
            <w:r>
              <w:t xml:space="preserve"> līdz </w:t>
            </w:r>
            <w:r w:rsidRPr="00D10F5A">
              <w:t>350 ml;</w:t>
            </w:r>
          </w:p>
          <w:p w:rsidR="005E3DC2" w:rsidRPr="00D10F5A" w:rsidRDefault="005E3DC2" w:rsidP="005E3DC2">
            <w:pPr>
              <w:pStyle w:val="ListParagraph"/>
              <w:widowControl/>
              <w:numPr>
                <w:ilvl w:val="0"/>
                <w:numId w:val="41"/>
              </w:numPr>
              <w:ind w:left="360" w:hanging="283"/>
              <w:contextualSpacing/>
            </w:pPr>
            <w:r w:rsidRPr="00D10F5A">
              <w:t xml:space="preserve">Ierīcei jābūt aprīkotai ar bīstamo tvaiku filtrācijas sistēmu, kurā tiek izmantots oglekļa filtrs; </w:t>
            </w:r>
          </w:p>
          <w:p w:rsidR="005E3DC2" w:rsidRPr="00D10F5A" w:rsidRDefault="005E3DC2" w:rsidP="005E3DC2">
            <w:pPr>
              <w:pStyle w:val="ListParagraph"/>
              <w:widowControl/>
              <w:numPr>
                <w:ilvl w:val="0"/>
                <w:numId w:val="41"/>
              </w:numPr>
              <w:ind w:left="360" w:hanging="283"/>
              <w:contextualSpacing/>
            </w:pPr>
            <w:r w:rsidRPr="00D10F5A">
              <w:t>Jābūt iespējai ieprogrammēt ierīcei viena krāsošanas šķīduma izmantošanas reižu skaitu. Kad attiecīgo krāsošanas rei</w:t>
            </w:r>
            <w:r>
              <w:t>ž</w:t>
            </w:r>
            <w:r w:rsidRPr="00D10F5A">
              <w:t>u skaits izmantots, ierīce ziņo, ka šķīdums jāmaina;</w:t>
            </w:r>
          </w:p>
          <w:p w:rsidR="005E3DC2" w:rsidRPr="00D10F5A" w:rsidRDefault="005E3DC2" w:rsidP="005E3DC2">
            <w:pPr>
              <w:pStyle w:val="ListParagraph"/>
              <w:widowControl/>
              <w:numPr>
                <w:ilvl w:val="0"/>
                <w:numId w:val="41"/>
              </w:numPr>
              <w:ind w:left="360" w:hanging="283"/>
              <w:contextualSpacing/>
            </w:pPr>
            <w:r w:rsidRPr="00D10F5A">
              <w:t>Ierīcei jānodrošina funkcija, kas ļauj nokrāsot atsevišķas segstikliņu grupas ātrāk, salīdzinot ar pārējām segstikliņu grupām;</w:t>
            </w:r>
          </w:p>
          <w:p w:rsidR="005E3DC2" w:rsidRPr="00D10F5A" w:rsidRDefault="005E3DC2" w:rsidP="005E3DC2">
            <w:pPr>
              <w:pStyle w:val="ListParagraph"/>
              <w:widowControl/>
              <w:numPr>
                <w:ilvl w:val="0"/>
                <w:numId w:val="41"/>
              </w:numPr>
              <w:ind w:left="360" w:hanging="283"/>
              <w:contextualSpacing/>
            </w:pPr>
            <w:r w:rsidRPr="00D10F5A">
              <w:t>Automatizētajam krāsotājam jābūt aprīkotam ar LED apgaismojumu un jābūt vairākām durtiņām priekšmetstikliņu ievietošanai/izņemšanai;</w:t>
            </w:r>
          </w:p>
          <w:p w:rsidR="005E3DC2" w:rsidRPr="00D10F5A" w:rsidRDefault="005E3DC2" w:rsidP="005E3DC2">
            <w:pPr>
              <w:pStyle w:val="ListParagraph"/>
              <w:widowControl/>
              <w:numPr>
                <w:ilvl w:val="0"/>
                <w:numId w:val="41"/>
              </w:numPr>
              <w:ind w:left="360" w:hanging="283"/>
              <w:contextualSpacing/>
            </w:pPr>
            <w:r w:rsidRPr="00D10F5A">
              <w:t>Krāsotājam jābūt aprīkotam ar USB portu, caur kuru iespējams lejup</w:t>
            </w:r>
            <w:r>
              <w:t>ie</w:t>
            </w:r>
            <w:r w:rsidRPr="00D10F5A">
              <w:t>lādēt krāsošanas protokolus;</w:t>
            </w:r>
          </w:p>
          <w:p w:rsidR="005E3DC2" w:rsidRPr="00D10F5A" w:rsidRDefault="005E3DC2" w:rsidP="005E3DC2">
            <w:pPr>
              <w:pStyle w:val="ListParagraph"/>
              <w:widowControl/>
              <w:numPr>
                <w:ilvl w:val="0"/>
                <w:numId w:val="41"/>
              </w:numPr>
              <w:ind w:left="360" w:hanging="283"/>
              <w:contextualSpacing/>
            </w:pPr>
            <w:r w:rsidRPr="00D10F5A">
              <w:t>Ierīcei jābūt aprīkotai ar papildus akumulatoru, kas nodrošina vismaz 0</w:t>
            </w:r>
            <w:r>
              <w:t>,</w:t>
            </w:r>
            <w:r w:rsidRPr="00D10F5A">
              <w:t>5h ierīces darbību pēc strāvas pazušanas;</w:t>
            </w:r>
          </w:p>
          <w:p w:rsidR="005E3DC2" w:rsidRPr="00D10F5A" w:rsidRDefault="005E3DC2" w:rsidP="005E3DC2">
            <w:pPr>
              <w:pStyle w:val="ListParagraph"/>
              <w:widowControl/>
              <w:numPr>
                <w:ilvl w:val="0"/>
                <w:numId w:val="41"/>
              </w:numPr>
              <w:ind w:left="360" w:hanging="283"/>
              <w:contextualSpacing/>
            </w:pPr>
            <w:r w:rsidRPr="00D10F5A">
              <w:t>Ierīces programmatūrai jābūt aprīkotai ar atsaukšanas funkciju, kas atgriež jebkuru rezervuāru izejas pozīcijā pie ierīces durtiņām;</w:t>
            </w:r>
          </w:p>
          <w:p w:rsidR="005E3DC2" w:rsidRPr="00D10F5A" w:rsidRDefault="005E3DC2" w:rsidP="005E3DC2">
            <w:pPr>
              <w:pStyle w:val="ListParagraph"/>
              <w:widowControl/>
              <w:numPr>
                <w:ilvl w:val="0"/>
                <w:numId w:val="41"/>
              </w:numPr>
              <w:ind w:left="360" w:hanging="283"/>
              <w:contextualSpacing/>
            </w:pPr>
            <w:r w:rsidRPr="00D10F5A">
              <w:t xml:space="preserve">Automātiskajam segstikliņu krāsotājam jābūt savietojamam ar Latvijas elektrotīklu (220-230 V, 50 </w:t>
            </w:r>
            <w:proofErr w:type="spellStart"/>
            <w:r w:rsidRPr="00D10F5A">
              <w:t>kHz</w:t>
            </w:r>
            <w:proofErr w:type="spellEnd"/>
            <w:r w:rsidRPr="00D10F5A">
              <w:t>);</w:t>
            </w:r>
          </w:p>
          <w:p w:rsidR="005E3DC2" w:rsidRPr="00D10F5A" w:rsidRDefault="005E3DC2" w:rsidP="005E3DC2">
            <w:pPr>
              <w:pStyle w:val="ListParagraph"/>
              <w:widowControl/>
              <w:numPr>
                <w:ilvl w:val="0"/>
                <w:numId w:val="41"/>
              </w:numPr>
              <w:ind w:left="360" w:hanging="283"/>
              <w:contextualSpacing/>
            </w:pPr>
            <w:r w:rsidRPr="00D10F5A">
              <w:t>Komplektācijā jābūt:</w:t>
            </w:r>
          </w:p>
          <w:p w:rsidR="005E3DC2" w:rsidRPr="00D10F5A" w:rsidRDefault="005E3DC2" w:rsidP="005E3DC2">
            <w:pPr>
              <w:pStyle w:val="ListParagraph"/>
              <w:widowControl/>
              <w:numPr>
                <w:ilvl w:val="1"/>
                <w:numId w:val="41"/>
              </w:numPr>
              <w:ind w:left="1069" w:hanging="425"/>
              <w:contextualSpacing/>
            </w:pPr>
            <w:r w:rsidRPr="00D10F5A">
              <w:t>10 segstikliņu groziņiem, kuri ir saderīgi ar attiecīgo ierīci un kuros var ievietot vismaz 20 priekšmetstikliņu;</w:t>
            </w:r>
          </w:p>
          <w:p w:rsidR="005E3DC2" w:rsidRPr="00D10F5A" w:rsidRDefault="005E3DC2" w:rsidP="005E3DC2">
            <w:pPr>
              <w:pStyle w:val="ListParagraph"/>
              <w:widowControl/>
              <w:numPr>
                <w:ilvl w:val="1"/>
                <w:numId w:val="41"/>
              </w:numPr>
              <w:ind w:left="1069" w:hanging="425"/>
              <w:contextualSpacing/>
            </w:pPr>
            <w:r w:rsidRPr="00D10F5A">
              <w:t>30 krāsošanas rezervuāriem un 5 apsildāmiem rezervuāriem.</w:t>
            </w:r>
          </w:p>
        </w:tc>
      </w:tr>
      <w:tr w:rsidR="005E3DC2" w:rsidRPr="00D10F5A" w:rsidTr="005E3DC2">
        <w:tc>
          <w:tcPr>
            <w:tcW w:w="1980" w:type="dxa"/>
          </w:tcPr>
          <w:p w:rsidR="005E3DC2" w:rsidRPr="00D10F5A" w:rsidRDefault="005E3DC2" w:rsidP="005E3DC2">
            <w:r>
              <w:t>Pakalpojumi</w:t>
            </w:r>
          </w:p>
        </w:tc>
        <w:tc>
          <w:tcPr>
            <w:tcW w:w="7740" w:type="dxa"/>
          </w:tcPr>
          <w:p w:rsidR="005E3DC2" w:rsidRPr="00D10F5A" w:rsidRDefault="005E3DC2" w:rsidP="005E3DC2">
            <w:pPr>
              <w:pStyle w:val="ListParagraph"/>
              <w:widowControl/>
              <w:numPr>
                <w:ilvl w:val="0"/>
                <w:numId w:val="41"/>
              </w:numPr>
              <w:ind w:left="360" w:hanging="283"/>
              <w:contextualSpacing/>
            </w:pPr>
            <w:r w:rsidRPr="00855664">
              <w:t>Instalācija un lietotāja apmācība darba vietā.</w:t>
            </w:r>
          </w:p>
        </w:tc>
      </w:tr>
      <w:tr w:rsidR="005E3DC2" w:rsidRPr="00D10F5A" w:rsidTr="005E3DC2">
        <w:tc>
          <w:tcPr>
            <w:tcW w:w="1980" w:type="dxa"/>
          </w:tcPr>
          <w:p w:rsidR="005E3DC2" w:rsidRDefault="005E3DC2" w:rsidP="005E3DC2">
            <w:r>
              <w:t>Garantija</w:t>
            </w:r>
          </w:p>
        </w:tc>
        <w:tc>
          <w:tcPr>
            <w:tcW w:w="7740" w:type="dxa"/>
          </w:tcPr>
          <w:p w:rsidR="005E3DC2" w:rsidRPr="00855664" w:rsidRDefault="005E3DC2" w:rsidP="005E3DC2">
            <w:pPr>
              <w:pStyle w:val="ListParagraph"/>
              <w:widowControl/>
              <w:numPr>
                <w:ilvl w:val="0"/>
                <w:numId w:val="41"/>
              </w:numPr>
              <w:ind w:left="360" w:hanging="283"/>
              <w:contextualSpacing/>
            </w:pPr>
            <w:r w:rsidRPr="00855664">
              <w:t>Garantijas laiks ne mazāks kā 2 gadi.</w:t>
            </w:r>
          </w:p>
        </w:tc>
      </w:tr>
    </w:tbl>
    <w:p w:rsidR="005E3DC2" w:rsidRPr="00D10F5A" w:rsidRDefault="005E3DC2" w:rsidP="005E3DC2"/>
    <w:p w:rsidR="005E3DC2" w:rsidRDefault="005E3DC2">
      <w:pPr>
        <w:widowControl/>
      </w:pPr>
    </w:p>
    <w:p w:rsidR="005E3DC2" w:rsidRDefault="005E3DC2">
      <w:pPr>
        <w:widowControl/>
      </w:pPr>
    </w:p>
    <w:p w:rsidR="005E3DC2" w:rsidRDefault="005E3DC2">
      <w:pPr>
        <w:widowControl/>
      </w:pPr>
      <w:r>
        <w:br w:type="page"/>
      </w:r>
    </w:p>
    <w:p w:rsidR="005E3DC2" w:rsidRDefault="005E3DC2">
      <w:pPr>
        <w:widowControl/>
      </w:pPr>
    </w:p>
    <w:p w:rsidR="005E3DC2" w:rsidRPr="005A5F92" w:rsidRDefault="005E3DC2" w:rsidP="00237B7B">
      <w:pPr>
        <w:pStyle w:val="ListParagraph"/>
        <w:widowControl/>
        <w:numPr>
          <w:ilvl w:val="0"/>
          <w:numId w:val="25"/>
        </w:numPr>
        <w:jc w:val="center"/>
        <w:outlineLvl w:val="1"/>
        <w:rPr>
          <w:b/>
          <w:sz w:val="28"/>
          <w:szCs w:val="28"/>
          <w:highlight w:val="yellow"/>
        </w:rPr>
      </w:pPr>
      <w:bookmarkStart w:id="58" w:name="_Toc489976892"/>
      <w:r w:rsidRPr="005A5F92">
        <w:rPr>
          <w:b/>
          <w:sz w:val="28"/>
          <w:szCs w:val="28"/>
          <w:highlight w:val="yellow"/>
        </w:rPr>
        <w:t>Lote</w:t>
      </w:r>
      <w:bookmarkEnd w:id="58"/>
    </w:p>
    <w:p w:rsidR="005E3DC2" w:rsidRDefault="00241588" w:rsidP="00237B7B">
      <w:pPr>
        <w:ind w:left="360"/>
        <w:jc w:val="center"/>
        <w:outlineLvl w:val="1"/>
        <w:rPr>
          <w:b/>
          <w:sz w:val="28"/>
        </w:rPr>
      </w:pPr>
      <w:bookmarkStart w:id="59" w:name="_Toc489447242"/>
      <w:bookmarkStart w:id="60" w:name="_Toc489976893"/>
      <w:r w:rsidRPr="00241588">
        <w:rPr>
          <w:b/>
          <w:sz w:val="28"/>
        </w:rPr>
        <w:t>Reālā laika PCR sistēma</w:t>
      </w:r>
      <w:bookmarkEnd w:id="59"/>
      <w:bookmarkEnd w:id="60"/>
    </w:p>
    <w:p w:rsidR="005E3DC2" w:rsidRDefault="005E3DC2">
      <w:pPr>
        <w:widowControl/>
      </w:pPr>
    </w:p>
    <w:p w:rsidR="005E3DC2" w:rsidRDefault="005E3DC2">
      <w:pPr>
        <w:widowControl/>
      </w:pPr>
    </w:p>
    <w:p w:rsidR="00241588" w:rsidRPr="00CA0866" w:rsidRDefault="00241588" w:rsidP="00241588">
      <w:pPr>
        <w:pStyle w:val="ListParagraph"/>
        <w:rPr>
          <w:b/>
        </w:rPr>
      </w:pPr>
    </w:p>
    <w:p w:rsidR="00241588" w:rsidRPr="00CA0866" w:rsidRDefault="00241588" w:rsidP="00241588">
      <w:r w:rsidRPr="00CA0866">
        <w:t>Lai nodrošinātu pētījumu nepārtrauktību un uzlabotu pētnieciskā darba kvalitāti, paredzēts atjaunināt gēnu ekspresijas noteikšanas aparatūru. Reālā laika PCR sistēma paredzēta gēnu ekspresijas un konkrētu DNS sekvenču klātbūtnes noteikšanai pētāmajos paraugos. Tas ļauj pētāmajos paraugos noteikt gēnu ekspresijas izmaiņas, gēnu mutāciju esamību, patogēnu klātbūtni, kā arī vajadzības gadījumā pavairot nepieciešamā DNS daudzumu. Papildus iespējams mērīt arī proteīna-inhibitora kompleksa stabilitāti, kas ir īpaši noderīga jaunu zāļu vielu pētījumos.</w:t>
      </w:r>
    </w:p>
    <w:p w:rsidR="00241588" w:rsidRPr="00CA0866" w:rsidRDefault="00241588" w:rsidP="00241588"/>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
        <w:gridCol w:w="1560"/>
        <w:gridCol w:w="7512"/>
      </w:tblGrid>
      <w:tr w:rsidR="00241588" w:rsidRPr="00CA0866" w:rsidTr="00977F5C">
        <w:trPr>
          <w:gridBefore w:val="1"/>
          <w:wBefore w:w="10" w:type="dxa"/>
        </w:trPr>
        <w:tc>
          <w:tcPr>
            <w:tcW w:w="1560" w:type="dxa"/>
            <w:vAlign w:val="center"/>
          </w:tcPr>
          <w:p w:rsidR="00241588" w:rsidRPr="00CA0866" w:rsidRDefault="00241588" w:rsidP="00977F5C">
            <w:pPr>
              <w:jc w:val="center"/>
              <w:rPr>
                <w:b/>
                <w:bCs/>
              </w:rPr>
            </w:pPr>
            <w:r w:rsidRPr="00CA0866">
              <w:rPr>
                <w:b/>
                <w:bCs/>
                <w:i/>
                <w:iCs/>
              </w:rPr>
              <w:t>Pozīcija</w:t>
            </w:r>
          </w:p>
        </w:tc>
        <w:tc>
          <w:tcPr>
            <w:tcW w:w="7512" w:type="dxa"/>
            <w:vAlign w:val="center"/>
          </w:tcPr>
          <w:p w:rsidR="00241588" w:rsidRPr="00CA0866" w:rsidRDefault="00241588" w:rsidP="00977F5C">
            <w:pPr>
              <w:jc w:val="center"/>
              <w:rPr>
                <w:b/>
                <w:bCs/>
              </w:rPr>
            </w:pPr>
            <w:r w:rsidRPr="00CA0866">
              <w:rPr>
                <w:b/>
                <w:bCs/>
                <w:i/>
                <w:iCs/>
              </w:rPr>
              <w:t>Apraksts/Prasības</w:t>
            </w:r>
          </w:p>
        </w:tc>
      </w:tr>
      <w:tr w:rsidR="00241588" w:rsidRPr="00CA0866" w:rsidTr="00977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1588" w:rsidRPr="00CA0866" w:rsidRDefault="00241588" w:rsidP="00977F5C">
            <w:pPr>
              <w:suppressAutoHyphens/>
            </w:pPr>
            <w:r w:rsidRPr="00CA0866">
              <w:t xml:space="preserve">Vispārīgs </w:t>
            </w:r>
          </w:p>
          <w:p w:rsidR="00241588" w:rsidRPr="00CA0866" w:rsidRDefault="00241588" w:rsidP="00977F5C">
            <w:pPr>
              <w:suppressAutoHyphens/>
            </w:pPr>
            <w:r w:rsidRPr="00CA0866">
              <w:t>apraksts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1588" w:rsidRPr="00CA0866" w:rsidRDefault="00241588" w:rsidP="00977F5C">
            <w:pPr>
              <w:suppressAutoHyphens/>
            </w:pPr>
            <w:r w:rsidRPr="00CA0866">
              <w:t>Reālā laika PCR iekārta paredzēta RNS daudzuma noteikšanai audu un šūnu paraugos. Ierīcei jābūt komplektētai ar datu analīzes programmatūru.</w:t>
            </w:r>
          </w:p>
        </w:tc>
      </w:tr>
      <w:tr w:rsidR="00241588" w:rsidRPr="00CA0866" w:rsidTr="00977F5C">
        <w:trPr>
          <w:gridBefore w:val="1"/>
          <w:wBefore w:w="10" w:type="dxa"/>
        </w:trPr>
        <w:tc>
          <w:tcPr>
            <w:tcW w:w="1560" w:type="dxa"/>
          </w:tcPr>
          <w:p w:rsidR="00241588" w:rsidRPr="00CA0866" w:rsidRDefault="00241588" w:rsidP="00977F5C">
            <w:r w:rsidRPr="00CA0866">
              <w:t>Novietojums</w:t>
            </w:r>
          </w:p>
        </w:tc>
        <w:tc>
          <w:tcPr>
            <w:tcW w:w="7512" w:type="dxa"/>
          </w:tcPr>
          <w:p w:rsidR="00241588" w:rsidRPr="00CA0866" w:rsidRDefault="00241588" w:rsidP="00977F5C">
            <w:r w:rsidRPr="00CA0866">
              <w:t>Brīvi stāvoša, var novietot uz galda</w:t>
            </w:r>
          </w:p>
        </w:tc>
      </w:tr>
      <w:tr w:rsidR="00241588" w:rsidRPr="00CA0866" w:rsidTr="00977F5C">
        <w:trPr>
          <w:gridBefore w:val="1"/>
          <w:wBefore w:w="10" w:type="dxa"/>
        </w:trPr>
        <w:tc>
          <w:tcPr>
            <w:tcW w:w="1560" w:type="dxa"/>
          </w:tcPr>
          <w:p w:rsidR="00241588" w:rsidRPr="00CA0866" w:rsidRDefault="00241588" w:rsidP="00977F5C">
            <w:r w:rsidRPr="00CA0866">
              <w:t xml:space="preserve">Iekārtas izmēri </w:t>
            </w:r>
          </w:p>
        </w:tc>
        <w:tc>
          <w:tcPr>
            <w:tcW w:w="7512" w:type="dxa"/>
          </w:tcPr>
          <w:p w:rsidR="00241588" w:rsidRPr="00CA0866" w:rsidRDefault="00241588" w:rsidP="00977F5C">
            <w:pPr>
              <w:ind w:left="-2"/>
            </w:pPr>
            <w:r w:rsidRPr="00CA0866">
              <w:t>Iekārtas ārējie izmēri, ne lielāki kā:</w:t>
            </w:r>
          </w:p>
          <w:p w:rsidR="00241588" w:rsidRPr="00CA0866" w:rsidRDefault="00241588" w:rsidP="00241588">
            <w:pPr>
              <w:pStyle w:val="ListParagraph"/>
              <w:widowControl/>
              <w:numPr>
                <w:ilvl w:val="0"/>
                <w:numId w:val="31"/>
              </w:numPr>
              <w:ind w:left="402"/>
              <w:contextualSpacing/>
            </w:pPr>
            <w:r w:rsidRPr="00CA0866">
              <w:t xml:space="preserve">platums 150 mm, </w:t>
            </w:r>
          </w:p>
          <w:p w:rsidR="00241588" w:rsidRPr="00CA0866" w:rsidRDefault="00241588" w:rsidP="00241588">
            <w:pPr>
              <w:pStyle w:val="ListParagraph"/>
              <w:widowControl/>
              <w:numPr>
                <w:ilvl w:val="0"/>
                <w:numId w:val="31"/>
              </w:numPr>
              <w:ind w:left="402"/>
              <w:contextualSpacing/>
            </w:pPr>
            <w:r w:rsidRPr="00CA0866">
              <w:t xml:space="preserve">augstums 130 mm (ar atvērtu vāku – 300 mm), </w:t>
            </w:r>
          </w:p>
          <w:p w:rsidR="00241588" w:rsidRPr="00CA0866" w:rsidRDefault="00241588" w:rsidP="00241588">
            <w:pPr>
              <w:pStyle w:val="ListParagraph"/>
              <w:widowControl/>
              <w:numPr>
                <w:ilvl w:val="0"/>
                <w:numId w:val="31"/>
              </w:numPr>
              <w:ind w:left="402"/>
              <w:contextualSpacing/>
            </w:pPr>
            <w:r w:rsidRPr="00CA0866">
              <w:t>garums 150 mm;</w:t>
            </w:r>
          </w:p>
          <w:p w:rsidR="00241588" w:rsidRPr="00CA0866" w:rsidRDefault="00241588" w:rsidP="00977F5C">
            <w:pPr>
              <w:pStyle w:val="ListParagraph"/>
              <w:ind w:left="-2"/>
            </w:pPr>
            <w:r w:rsidRPr="00CA0866">
              <w:t xml:space="preserve">Instrumenta </w:t>
            </w:r>
            <w:r w:rsidRPr="00CA0866">
              <w:rPr>
                <w:lang w:eastAsia="lv-LV"/>
              </w:rPr>
              <w:t>kopējam svaram jābūt ne lielākam kā 2,5 kg.</w:t>
            </w:r>
          </w:p>
        </w:tc>
      </w:tr>
      <w:tr w:rsidR="00241588" w:rsidRPr="00CA0866" w:rsidTr="00977F5C">
        <w:trPr>
          <w:gridBefore w:val="1"/>
          <w:wBefore w:w="10" w:type="dxa"/>
        </w:trPr>
        <w:tc>
          <w:tcPr>
            <w:tcW w:w="1560" w:type="dxa"/>
          </w:tcPr>
          <w:p w:rsidR="00241588" w:rsidRPr="00CA0866" w:rsidRDefault="00241588" w:rsidP="00977F5C">
            <w:r w:rsidRPr="00CA0866">
              <w:t>PCR iekārtas funkcijas:</w:t>
            </w:r>
          </w:p>
        </w:tc>
        <w:tc>
          <w:tcPr>
            <w:tcW w:w="7512" w:type="dxa"/>
          </w:tcPr>
          <w:p w:rsidR="00241588" w:rsidRPr="00CA0866" w:rsidRDefault="00241588" w:rsidP="00977F5C">
            <w:pPr>
              <w:ind w:left="-2"/>
            </w:pPr>
            <w:r w:rsidRPr="00CA0866">
              <w:t>PCR iekārtai jāatbilst šādām prasībām:</w:t>
            </w:r>
          </w:p>
          <w:p w:rsidR="00241588" w:rsidRPr="00CA0866" w:rsidRDefault="00241588" w:rsidP="00241588">
            <w:pPr>
              <w:pStyle w:val="ListParagraph"/>
              <w:widowControl/>
              <w:numPr>
                <w:ilvl w:val="0"/>
                <w:numId w:val="43"/>
              </w:numPr>
              <w:ind w:left="358"/>
              <w:contextualSpacing/>
            </w:pPr>
            <w:r w:rsidRPr="00CA0866">
              <w:t>Temperatūras precizitāte neatšķiras vairāk kā par ±0,25 °C;</w:t>
            </w:r>
          </w:p>
          <w:p w:rsidR="00241588" w:rsidRPr="00CA0866" w:rsidRDefault="00241588" w:rsidP="00241588">
            <w:pPr>
              <w:pStyle w:val="ListParagraph"/>
              <w:widowControl/>
              <w:numPr>
                <w:ilvl w:val="0"/>
                <w:numId w:val="43"/>
              </w:numPr>
              <w:ind w:left="358"/>
              <w:contextualSpacing/>
            </w:pPr>
            <w:r>
              <w:t>Temperatūras viendabīgums neatšķiras vairāk kā par ±0,05 °C;</w:t>
            </w:r>
          </w:p>
          <w:p w:rsidR="00241588" w:rsidRPr="00CA0866" w:rsidRDefault="00241588" w:rsidP="00241588">
            <w:pPr>
              <w:pStyle w:val="ListParagraph"/>
              <w:widowControl/>
              <w:numPr>
                <w:ilvl w:val="0"/>
                <w:numId w:val="43"/>
              </w:numPr>
              <w:ind w:left="358"/>
              <w:contextualSpacing/>
            </w:pPr>
            <w:r>
              <w:t>Temperatūras diapazons no +</w:t>
            </w:r>
            <w:r w:rsidRPr="00CA0866">
              <w:t>40</w:t>
            </w:r>
            <w:r>
              <w:t xml:space="preserve"> </w:t>
            </w:r>
            <w:r w:rsidRPr="00CA0866">
              <w:t>-</w:t>
            </w:r>
            <w:r>
              <w:t xml:space="preserve"> +</w:t>
            </w:r>
            <w:r w:rsidRPr="00CA0866">
              <w:t>99 °C;</w:t>
            </w:r>
          </w:p>
          <w:p w:rsidR="00241588" w:rsidRPr="00CA0866" w:rsidRDefault="00241588" w:rsidP="00241588">
            <w:pPr>
              <w:pStyle w:val="ListParagraph"/>
              <w:widowControl/>
              <w:numPr>
                <w:ilvl w:val="0"/>
                <w:numId w:val="43"/>
              </w:numPr>
              <w:ind w:left="358"/>
              <w:contextualSpacing/>
            </w:pPr>
            <w:r w:rsidRPr="00CA0866">
              <w:t>Sildīšanas ātrums vismaz 4°C/s paraugam un sildīšanai tiek izmantots magnētiskā lauka indukcijas tehnoloģija;</w:t>
            </w:r>
          </w:p>
          <w:p w:rsidR="00241588" w:rsidRPr="00CA0866" w:rsidRDefault="00241588" w:rsidP="00241588">
            <w:pPr>
              <w:pStyle w:val="ListParagraph"/>
              <w:widowControl/>
              <w:numPr>
                <w:ilvl w:val="0"/>
                <w:numId w:val="43"/>
              </w:numPr>
              <w:ind w:left="358"/>
              <w:contextualSpacing/>
            </w:pPr>
            <w:r>
              <w:t>Atdzesēšanas ātrums vismaz 3°C/s paraugam;</w:t>
            </w:r>
          </w:p>
          <w:p w:rsidR="00241588" w:rsidRPr="00CA0866" w:rsidRDefault="00241588" w:rsidP="00241588">
            <w:pPr>
              <w:pStyle w:val="ListParagraph"/>
              <w:widowControl/>
              <w:numPr>
                <w:ilvl w:val="0"/>
                <w:numId w:val="43"/>
              </w:numPr>
              <w:ind w:left="358"/>
              <w:contextualSpacing/>
            </w:pPr>
            <w:r>
              <w:t xml:space="preserve">Fluorescences detektēšanas kanālu skaits – vismaz 4 ar iespēju noteikt vismaz sekojošas </w:t>
            </w:r>
            <w:proofErr w:type="spellStart"/>
            <w:r>
              <w:t>fluorescentās</w:t>
            </w:r>
            <w:proofErr w:type="spellEnd"/>
            <w:r>
              <w:t xml:space="preserve"> zondes: zaļās gaismas </w:t>
            </w:r>
            <w:proofErr w:type="spellStart"/>
            <w:r>
              <w:t>em</w:t>
            </w:r>
            <w:proofErr w:type="spellEnd"/>
            <w:r>
              <w:t xml:space="preserve">. 510 nm, </w:t>
            </w:r>
            <w:proofErr w:type="spellStart"/>
            <w:r>
              <w:t>ex</w:t>
            </w:r>
            <w:proofErr w:type="spellEnd"/>
            <w:r>
              <w:t xml:space="preserve">. 465 nm; dzeltenās gaismas </w:t>
            </w:r>
            <w:proofErr w:type="spellStart"/>
            <w:r>
              <w:t>em</w:t>
            </w:r>
            <w:proofErr w:type="spellEnd"/>
            <w:r>
              <w:t xml:space="preserve">. 570 nm, </w:t>
            </w:r>
            <w:proofErr w:type="spellStart"/>
            <w:r>
              <w:t>ex</w:t>
            </w:r>
            <w:proofErr w:type="spellEnd"/>
            <w:r>
              <w:t xml:space="preserve">. 540 nm; oranžās gaismas </w:t>
            </w:r>
            <w:proofErr w:type="spellStart"/>
            <w:r>
              <w:t>em</w:t>
            </w:r>
            <w:proofErr w:type="spellEnd"/>
            <w:r>
              <w:t xml:space="preserve">. 618 nm, </w:t>
            </w:r>
            <w:proofErr w:type="spellStart"/>
            <w:r>
              <w:t>ex</w:t>
            </w:r>
            <w:proofErr w:type="spellEnd"/>
            <w:r>
              <w:t xml:space="preserve">. 585 nm; sarkanās gaismas </w:t>
            </w:r>
            <w:proofErr w:type="spellStart"/>
            <w:r>
              <w:t>em</w:t>
            </w:r>
            <w:proofErr w:type="spellEnd"/>
            <w:r>
              <w:t xml:space="preserve">. 675 nm, </w:t>
            </w:r>
            <w:proofErr w:type="spellStart"/>
            <w:r>
              <w:t>ex</w:t>
            </w:r>
            <w:proofErr w:type="spellEnd"/>
            <w:r>
              <w:t>. 635 nm;</w:t>
            </w:r>
          </w:p>
          <w:p w:rsidR="00241588" w:rsidRPr="00CA0866" w:rsidRDefault="00241588" w:rsidP="00241588">
            <w:pPr>
              <w:pStyle w:val="ListParagraph"/>
              <w:widowControl/>
              <w:numPr>
                <w:ilvl w:val="0"/>
                <w:numId w:val="43"/>
              </w:numPr>
              <w:ind w:left="358"/>
              <w:contextualSpacing/>
            </w:pPr>
            <w:r>
              <w:t xml:space="preserve">Detektori – </w:t>
            </w:r>
            <w:proofErr w:type="spellStart"/>
            <w:r>
              <w:t>fotodiodes</w:t>
            </w:r>
            <w:proofErr w:type="spellEnd"/>
            <w:r>
              <w:t>, ierosmes gaismas avots – augstas jaudas gaismas diodes;</w:t>
            </w:r>
          </w:p>
          <w:p w:rsidR="00241588" w:rsidRPr="00CA0866" w:rsidRDefault="00241588" w:rsidP="00241588">
            <w:pPr>
              <w:pStyle w:val="ListParagraph"/>
              <w:widowControl/>
              <w:numPr>
                <w:ilvl w:val="0"/>
                <w:numId w:val="43"/>
              </w:numPr>
              <w:ind w:left="358"/>
              <w:contextualSpacing/>
            </w:pPr>
            <w:r>
              <w:t>Mērīšanas laiks – ne vairāk kā 1 sekunde;</w:t>
            </w:r>
          </w:p>
          <w:p w:rsidR="00241588" w:rsidRPr="00CA0866" w:rsidRDefault="00241588" w:rsidP="00241588">
            <w:pPr>
              <w:pStyle w:val="ListParagraph"/>
              <w:widowControl/>
              <w:numPr>
                <w:ilvl w:val="0"/>
                <w:numId w:val="43"/>
              </w:numPr>
              <w:ind w:left="358"/>
              <w:contextualSpacing/>
            </w:pPr>
            <w:r>
              <w:t>Iekārta paredzēta vismaz 48 paraugu vienlaicīgai analīzei;</w:t>
            </w:r>
          </w:p>
          <w:p w:rsidR="00241588" w:rsidRPr="00CA0866" w:rsidRDefault="00241588" w:rsidP="00241588">
            <w:pPr>
              <w:pStyle w:val="ListParagraph"/>
              <w:widowControl/>
              <w:numPr>
                <w:ilvl w:val="0"/>
                <w:numId w:val="43"/>
              </w:numPr>
              <w:ind w:left="358"/>
              <w:contextualSpacing/>
            </w:pPr>
            <w:r>
              <w:t>Reakcijas tilpumam jābūt robežās vismaz no 5 līdz 30 μl;</w:t>
            </w:r>
          </w:p>
          <w:p w:rsidR="00241588" w:rsidRPr="00CA0866" w:rsidRDefault="00241588" w:rsidP="00241588">
            <w:pPr>
              <w:pStyle w:val="ListParagraph"/>
              <w:widowControl/>
              <w:numPr>
                <w:ilvl w:val="0"/>
                <w:numId w:val="43"/>
              </w:numPr>
              <w:ind w:left="358"/>
              <w:contextualSpacing/>
            </w:pPr>
            <w:r>
              <w:t xml:space="preserve">Iekārtai jābūt USB pieslēgvietai un </w:t>
            </w:r>
            <w:proofErr w:type="spellStart"/>
            <w:r>
              <w:t>Bluetooth</w:t>
            </w:r>
            <w:proofErr w:type="spellEnd"/>
            <w:r>
              <w:t>® tehnoloģijai iekārtas savienošanai ar datoru;</w:t>
            </w:r>
          </w:p>
          <w:p w:rsidR="00241588" w:rsidRPr="00CA0866" w:rsidRDefault="00241588" w:rsidP="00241588">
            <w:pPr>
              <w:pStyle w:val="ListParagraph"/>
              <w:widowControl/>
              <w:numPr>
                <w:ilvl w:val="0"/>
                <w:numId w:val="43"/>
              </w:numPr>
              <w:ind w:left="358"/>
              <w:contextualSpacing/>
            </w:pPr>
            <w:r>
              <w:t>Iekārtas ievades spriegums 100 līdz 240 V, 50/60 Hz;</w:t>
            </w:r>
          </w:p>
          <w:p w:rsidR="00241588" w:rsidRPr="00CA0866" w:rsidRDefault="00241588" w:rsidP="00241588">
            <w:pPr>
              <w:pStyle w:val="ListParagraph"/>
              <w:widowControl/>
              <w:numPr>
                <w:ilvl w:val="0"/>
                <w:numId w:val="43"/>
              </w:numPr>
              <w:ind w:left="358"/>
              <w:contextualSpacing/>
            </w:pPr>
            <w:r>
              <w:t>Iekārtai jābūt rūpnieciski kalibrētai un tai nav nepieciešama regulāra kalibrācijas procedūra.</w:t>
            </w:r>
          </w:p>
        </w:tc>
      </w:tr>
      <w:tr w:rsidR="00241588" w:rsidRPr="00CA0866" w:rsidTr="00977F5C">
        <w:trPr>
          <w:gridBefore w:val="1"/>
          <w:wBefore w:w="10" w:type="dxa"/>
        </w:trPr>
        <w:tc>
          <w:tcPr>
            <w:tcW w:w="1560" w:type="dxa"/>
          </w:tcPr>
          <w:p w:rsidR="00241588" w:rsidRPr="00CA0866" w:rsidRDefault="00241588" w:rsidP="00977F5C">
            <w:r>
              <w:t>Papildus aprīkojums</w:t>
            </w:r>
          </w:p>
        </w:tc>
        <w:tc>
          <w:tcPr>
            <w:tcW w:w="7512" w:type="dxa"/>
          </w:tcPr>
          <w:p w:rsidR="00241588" w:rsidRPr="00CA0866" w:rsidRDefault="00241588" w:rsidP="00977F5C">
            <w:r>
              <w:t>PCR iekārtai jābūt komplektācijā ar:</w:t>
            </w:r>
          </w:p>
          <w:p w:rsidR="00241588" w:rsidRPr="00CA0866" w:rsidRDefault="00241588" w:rsidP="00241588">
            <w:pPr>
              <w:pStyle w:val="ListParagraph"/>
              <w:widowControl/>
              <w:numPr>
                <w:ilvl w:val="0"/>
                <w:numId w:val="43"/>
              </w:numPr>
              <w:ind w:left="358"/>
              <w:contextualSpacing/>
            </w:pPr>
            <w:r>
              <w:t>Portatīvais datoru (vismaz 15.6" monitors ar izšķirtspēju vismaz 1920x1080, Procesora veiktspēja pēc</w:t>
            </w:r>
            <w:r w:rsidRPr="00CA0866">
              <w:t xml:space="preserve"> </w:t>
            </w:r>
            <w:proofErr w:type="spellStart"/>
            <w:r w:rsidRPr="00CA0866">
              <w:t>Passmark</w:t>
            </w:r>
            <w:proofErr w:type="spellEnd"/>
            <w:r w:rsidRPr="00CA0866">
              <w:t xml:space="preserve"> </w:t>
            </w:r>
            <w:r>
              <w:t xml:space="preserve">testa </w:t>
            </w:r>
            <w:r w:rsidRPr="00CA0866">
              <w:t>vismaz 4700</w:t>
            </w:r>
            <w:r>
              <w:t xml:space="preserve"> punkti</w:t>
            </w:r>
            <w:r w:rsidRPr="00CA0866">
              <w:t xml:space="preserve">, RAM vismaz 8GB, cietais disks vismaz 256GB SSD, Windows 10 </w:t>
            </w:r>
            <w:proofErr w:type="spellStart"/>
            <w:r w:rsidRPr="00CA0866">
              <w:t>Pro</w:t>
            </w:r>
            <w:proofErr w:type="spellEnd"/>
            <w:r w:rsidRPr="00CA0866">
              <w:t xml:space="preserve"> vai līdzvērtīg</w:t>
            </w:r>
            <w:r>
              <w:t>a operētājsistēma</w:t>
            </w:r>
            <w:r w:rsidRPr="00CA0866">
              <w:t>);</w:t>
            </w:r>
          </w:p>
          <w:p w:rsidR="00241588" w:rsidRPr="00CA0866" w:rsidRDefault="00241588" w:rsidP="00241588">
            <w:pPr>
              <w:pStyle w:val="ListParagraph"/>
              <w:widowControl/>
              <w:numPr>
                <w:ilvl w:val="0"/>
                <w:numId w:val="43"/>
              </w:numPr>
              <w:ind w:left="358"/>
              <w:contextualSpacing/>
            </w:pPr>
            <w:r w:rsidRPr="00CA0866">
              <w:t>Ārējo barošanas bloku.</w:t>
            </w:r>
          </w:p>
          <w:p w:rsidR="00241588" w:rsidRPr="00CA0866" w:rsidRDefault="00241588" w:rsidP="00241588">
            <w:pPr>
              <w:pStyle w:val="ListParagraph"/>
              <w:widowControl/>
              <w:numPr>
                <w:ilvl w:val="0"/>
                <w:numId w:val="43"/>
              </w:numPr>
              <w:ind w:left="358"/>
              <w:contextualSpacing/>
            </w:pPr>
            <w:r>
              <w:lastRenderedPageBreak/>
              <w:t>Atbilstošu iekārtas kontroles un datu analīzes programmnodrošinājumu.</w:t>
            </w:r>
          </w:p>
          <w:p w:rsidR="00241588" w:rsidRPr="00CA0866" w:rsidRDefault="00241588" w:rsidP="00977F5C">
            <w:r>
              <w:t>Citi papildus aksesuāri:</w:t>
            </w:r>
          </w:p>
          <w:p w:rsidR="00241588" w:rsidRPr="00CA0866" w:rsidRDefault="00241588" w:rsidP="00241588">
            <w:pPr>
              <w:pStyle w:val="ListParagraph"/>
              <w:widowControl/>
              <w:numPr>
                <w:ilvl w:val="0"/>
                <w:numId w:val="43"/>
              </w:numPr>
              <w:ind w:left="358"/>
              <w:contextualSpacing/>
            </w:pPr>
            <w:r>
              <w:t>Pastāvīgas temperatūras uzturēšanas soma paraugu un instrumenta pārnēsāšanai;</w:t>
            </w:r>
          </w:p>
          <w:p w:rsidR="00241588" w:rsidRPr="00CA0866" w:rsidRDefault="00241588" w:rsidP="00241588">
            <w:pPr>
              <w:pStyle w:val="ListParagraph"/>
              <w:widowControl/>
              <w:numPr>
                <w:ilvl w:val="0"/>
                <w:numId w:val="43"/>
              </w:numPr>
              <w:ind w:left="358"/>
              <w:contextualSpacing/>
            </w:pPr>
            <w:r>
              <w:t>Ar iekārtu saderīgi 10 000 reakcijas stobriņi (0,2 ml), kas satur eļļu paraugu pasargāšanai no iztvaikošanas.</w:t>
            </w:r>
          </w:p>
        </w:tc>
      </w:tr>
      <w:tr w:rsidR="00241588" w:rsidRPr="00CA0866" w:rsidTr="00977F5C">
        <w:trPr>
          <w:gridBefore w:val="1"/>
          <w:wBefore w:w="10" w:type="dxa"/>
        </w:trPr>
        <w:tc>
          <w:tcPr>
            <w:tcW w:w="1560" w:type="dxa"/>
          </w:tcPr>
          <w:p w:rsidR="00241588" w:rsidRPr="00CA0866" w:rsidRDefault="00241588" w:rsidP="00977F5C">
            <w:r>
              <w:lastRenderedPageBreak/>
              <w:t>Pakalpojumi</w:t>
            </w:r>
          </w:p>
        </w:tc>
        <w:tc>
          <w:tcPr>
            <w:tcW w:w="7512" w:type="dxa"/>
          </w:tcPr>
          <w:p w:rsidR="00241588" w:rsidRPr="00CA0866" w:rsidRDefault="00241588" w:rsidP="00977F5C">
            <w:r>
              <w:t>Iekārtas i</w:t>
            </w:r>
            <w:r w:rsidRPr="00CA0866">
              <w:t>nstalācija un lietotāja apmācība darba vietā.</w:t>
            </w:r>
          </w:p>
          <w:p w:rsidR="00241588" w:rsidRPr="00CA0866" w:rsidRDefault="00241588" w:rsidP="00977F5C"/>
        </w:tc>
      </w:tr>
      <w:tr w:rsidR="00241588" w:rsidRPr="00CA0866" w:rsidTr="00977F5C">
        <w:trPr>
          <w:gridBefore w:val="1"/>
          <w:wBefore w:w="10" w:type="dxa"/>
        </w:trPr>
        <w:tc>
          <w:tcPr>
            <w:tcW w:w="1560" w:type="dxa"/>
          </w:tcPr>
          <w:p w:rsidR="00241588" w:rsidRPr="00CA0866" w:rsidRDefault="00241588" w:rsidP="00977F5C">
            <w:r>
              <w:t>Garantija</w:t>
            </w:r>
          </w:p>
        </w:tc>
        <w:tc>
          <w:tcPr>
            <w:tcW w:w="7512" w:type="dxa"/>
          </w:tcPr>
          <w:p w:rsidR="00241588" w:rsidRPr="00CA0866" w:rsidRDefault="00241588" w:rsidP="00977F5C">
            <w:r w:rsidRPr="00CA0866">
              <w:t>Garantijas laiks ne mazāks kā 2 gadi.</w:t>
            </w:r>
          </w:p>
        </w:tc>
      </w:tr>
    </w:tbl>
    <w:p w:rsidR="00241588" w:rsidRPr="00CA0866" w:rsidRDefault="00241588" w:rsidP="00241588"/>
    <w:p w:rsidR="005E3DC2" w:rsidRDefault="005E3DC2">
      <w:pPr>
        <w:widowControl/>
      </w:pPr>
    </w:p>
    <w:p w:rsidR="005E3DC2" w:rsidRDefault="005E3DC2">
      <w:pPr>
        <w:widowControl/>
      </w:pPr>
    </w:p>
    <w:p w:rsidR="005E3DC2" w:rsidRDefault="005E3DC2">
      <w:pPr>
        <w:widowControl/>
      </w:pPr>
      <w:r>
        <w:br w:type="page"/>
      </w:r>
    </w:p>
    <w:p w:rsidR="005E3DC2" w:rsidRDefault="005E3DC2">
      <w:pPr>
        <w:widowControl/>
      </w:pPr>
    </w:p>
    <w:p w:rsidR="00E60B31" w:rsidRDefault="00E60B31">
      <w:pPr>
        <w:widowControl/>
      </w:pPr>
    </w:p>
    <w:p w:rsidR="001A3738" w:rsidRDefault="001A3738" w:rsidP="008D14B6"/>
    <w:p w:rsidR="001A3738" w:rsidRPr="001A3738" w:rsidRDefault="001A3738" w:rsidP="001D10AC">
      <w:pPr>
        <w:pStyle w:val="Heading2"/>
        <w:numPr>
          <w:ilvl w:val="0"/>
          <w:numId w:val="0"/>
        </w:numPr>
        <w:rPr>
          <w:b w:val="0"/>
          <w:u w:val="single"/>
        </w:rPr>
      </w:pPr>
      <w:bookmarkStart w:id="61" w:name="_Toc489976894"/>
      <w:r w:rsidRPr="001A3738">
        <w:rPr>
          <w:u w:val="single"/>
        </w:rPr>
        <w:t>Papildus nosacījumi:</w:t>
      </w:r>
      <w:bookmarkEnd w:id="61"/>
    </w:p>
    <w:p w:rsidR="001A3738" w:rsidRDefault="001A3738" w:rsidP="008D14B6"/>
    <w:p w:rsidR="001A3738" w:rsidRPr="00A66533" w:rsidRDefault="001A3738" w:rsidP="001A3738">
      <w:pPr>
        <w:pStyle w:val="ListParagraph"/>
        <w:numPr>
          <w:ilvl w:val="0"/>
          <w:numId w:val="24"/>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62" w:name="_Toc313875856"/>
      <w:bookmarkStart w:id="63" w:name="_Toc489976895"/>
      <w:bookmarkStart w:id="64" w:name="LĪGUMA_PROJEKTS_III"/>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62"/>
      <w:bookmarkEnd w:id="63"/>
    </w:p>
    <w:bookmarkEnd w:id="64"/>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3132FB" w:rsidRDefault="00F950E9" w:rsidP="00F950E9">
      <w:pPr>
        <w:pStyle w:val="Title"/>
        <w:outlineLvl w:val="9"/>
        <w:rPr>
          <w:rFonts w:ascii="Times New Roman" w:hAnsi="Times New Roman"/>
          <w:szCs w:val="20"/>
        </w:rPr>
      </w:pPr>
      <w:bookmarkStart w:id="65" w:name="_Toc289092137"/>
      <w:bookmarkStart w:id="66" w:name="_Toc289172682"/>
      <w:bookmarkStart w:id="67" w:name="_Toc289174422"/>
      <w:bookmarkStart w:id="68" w:name="_Toc289183520"/>
      <w:bookmarkStart w:id="69" w:name="_Toc313361958"/>
      <w:bookmarkStart w:id="70" w:name="_Toc313875857"/>
      <w:r w:rsidRPr="003132FB">
        <w:rPr>
          <w:rFonts w:ascii="Times New Roman" w:hAnsi="Times New Roman"/>
          <w:szCs w:val="20"/>
        </w:rPr>
        <w:t>LĪGUMS Nr.</w:t>
      </w:r>
      <w:bookmarkEnd w:id="65"/>
      <w:bookmarkEnd w:id="66"/>
      <w:bookmarkEnd w:id="67"/>
      <w:bookmarkEnd w:id="68"/>
      <w:bookmarkEnd w:id="69"/>
      <w:bookmarkEnd w:id="70"/>
      <w:r w:rsidRPr="003132FB">
        <w:rPr>
          <w:rFonts w:ascii="Times New Roman" w:hAnsi="Times New Roman"/>
          <w:szCs w:val="20"/>
        </w:rPr>
        <w:t xml:space="preserve"> </w:t>
      </w:r>
    </w:p>
    <w:p w:rsidR="00F950E9" w:rsidRPr="003132FB" w:rsidRDefault="00F950E9" w:rsidP="00F950E9">
      <w:pPr>
        <w:pStyle w:val="Title"/>
        <w:outlineLvl w:val="9"/>
        <w:rPr>
          <w:rFonts w:ascii="Times New Roman" w:hAnsi="Times New Roman"/>
          <w:sz w:val="26"/>
          <w:szCs w:val="26"/>
        </w:rPr>
      </w:pPr>
      <w:bookmarkStart w:id="71" w:name="_Toc289092138"/>
      <w:bookmarkStart w:id="72" w:name="_Toc289172683"/>
      <w:bookmarkStart w:id="73" w:name="_Toc289174423"/>
      <w:bookmarkStart w:id="74" w:name="_Toc289183521"/>
      <w:bookmarkStart w:id="75" w:name="_Toc313361959"/>
      <w:bookmarkStart w:id="76" w:name="_Toc313875858"/>
      <w:r w:rsidRPr="003132FB">
        <w:rPr>
          <w:rFonts w:ascii="Times New Roman" w:hAnsi="Times New Roman"/>
          <w:color w:val="000000"/>
          <w:spacing w:val="-1"/>
          <w:sz w:val="26"/>
          <w:szCs w:val="26"/>
        </w:rPr>
        <w:t>&lt;</w:t>
      </w:r>
      <w:smartTag w:uri="schemas-tilde-lv/tildestengine" w:element="veidnes">
        <w:smartTagPr>
          <w:attr w:name="id" w:val="-1"/>
          <w:attr w:name="text" w:val="līguma"/>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71"/>
      <w:bookmarkEnd w:id="72"/>
      <w:bookmarkEnd w:id="73"/>
      <w:bookmarkEnd w:id="74"/>
      <w:bookmarkEnd w:id="75"/>
      <w:bookmarkEnd w:id="76"/>
    </w:p>
    <w:p w:rsidR="00F950E9" w:rsidRPr="003132FB" w:rsidRDefault="00F950E9" w:rsidP="00F950E9">
      <w:pPr>
        <w:widowControl/>
        <w:jc w:val="center"/>
        <w:rPr>
          <w:b/>
        </w:rPr>
      </w:pPr>
    </w:p>
    <w:p w:rsidR="00F950E9" w:rsidRPr="003132FB" w:rsidRDefault="00F950E9" w:rsidP="00F950E9">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F950E9" w:rsidRPr="003132FB" w:rsidRDefault="00F950E9" w:rsidP="00F950E9">
      <w:pPr>
        <w:widowControl/>
        <w:jc w:val="right"/>
      </w:pPr>
    </w:p>
    <w:p w:rsidR="00F950E9" w:rsidRPr="003132FB" w:rsidRDefault="00F950E9" w:rsidP="00F950E9">
      <w:pPr>
        <w:widowControl/>
        <w:jc w:val="both"/>
      </w:pPr>
      <w:r w:rsidRPr="003132FB">
        <w:tab/>
      </w:r>
    </w:p>
    <w:p w:rsidR="00F950E9" w:rsidRPr="003132FB" w:rsidRDefault="00F950E9" w:rsidP="00F950E9">
      <w:pPr>
        <w:pStyle w:val="Heading2"/>
        <w:numPr>
          <w:ilvl w:val="0"/>
          <w:numId w:val="0"/>
        </w:numPr>
        <w:jc w:val="center"/>
      </w:pPr>
      <w:bookmarkStart w:id="77" w:name="_Ref313360540"/>
      <w:bookmarkStart w:id="78" w:name="_Toc367361881"/>
      <w:bookmarkStart w:id="79" w:name="_Toc418085197"/>
      <w:bookmarkStart w:id="80" w:name="_Toc489976896"/>
      <w:r w:rsidRPr="003132FB">
        <w:t>LĪGUMA SPECIĀLIE NOTEIKUMI</w:t>
      </w:r>
      <w:bookmarkEnd w:id="77"/>
      <w:bookmarkEnd w:id="78"/>
      <w:bookmarkEnd w:id="79"/>
      <w:bookmarkEnd w:id="80"/>
    </w:p>
    <w:p w:rsidR="00F950E9" w:rsidRPr="003132FB" w:rsidRDefault="00F950E9" w:rsidP="00F950E9">
      <w:pPr>
        <w:shd w:val="clear" w:color="auto" w:fill="FFFFFF"/>
        <w:tabs>
          <w:tab w:val="left" w:pos="5670"/>
        </w:tabs>
        <w:spacing w:before="245"/>
        <w:ind w:left="19"/>
        <w:jc w:val="both"/>
      </w:pPr>
    </w:p>
    <w:p w:rsidR="00F950E9" w:rsidRPr="003132FB" w:rsidRDefault="00F950E9" w:rsidP="00F950E9">
      <w:pPr>
        <w:jc w:val="both"/>
      </w:pPr>
      <w:r w:rsidRPr="003132FB">
        <w:rPr>
          <w:b/>
        </w:rPr>
        <w:t>Latvijas Organiskās sintēzes institūts</w:t>
      </w:r>
      <w:r>
        <w:t>, tā</w:t>
      </w:r>
      <w:r w:rsidRPr="003132FB">
        <w:t xml:space="preserve"> </w:t>
      </w:r>
      <w:r w:rsidRPr="003132FB">
        <w:rPr>
          <w:b/>
        </w:rPr>
        <w:t>direktora</w:t>
      </w:r>
      <w:r>
        <w:rPr>
          <w:b/>
        </w:rPr>
        <w:t xml:space="preserve"> Osvalda Pugoviča </w:t>
      </w:r>
      <w:r w:rsidRPr="003132FB">
        <w:t>personā, turpmāk šā līguma tekstā saukts Pasūtītājs, no vienas puses, un</w:t>
      </w:r>
    </w:p>
    <w:p w:rsidR="00F950E9" w:rsidRPr="003132FB" w:rsidRDefault="00F950E9" w:rsidP="00F950E9">
      <w:pPr>
        <w:jc w:val="both"/>
      </w:pPr>
    </w:p>
    <w:p w:rsidR="00F950E9" w:rsidRPr="003132FB" w:rsidRDefault="00F950E9" w:rsidP="00F950E9">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F950E9">
      <w:pPr>
        <w:pStyle w:val="ListParagraph"/>
        <w:numPr>
          <w:ilvl w:val="0"/>
          <w:numId w:val="15"/>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F950E9">
      <w:pPr>
        <w:pStyle w:val="ListParagraph"/>
        <w:numPr>
          <w:ilvl w:val="0"/>
          <w:numId w:val="15"/>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954" w:type="dxa"/>
        <w:jc w:val="center"/>
        <w:tblLook w:val="0000"/>
      </w:tblPr>
      <w:tblGrid>
        <w:gridCol w:w="4477"/>
        <w:gridCol w:w="4477"/>
      </w:tblGrid>
      <w:tr w:rsidR="001D10AC" w:rsidRPr="003132FB" w:rsidTr="001D10AC">
        <w:trPr>
          <w:trHeight w:val="4572"/>
          <w:jc w:val="center"/>
        </w:trPr>
        <w:tc>
          <w:tcPr>
            <w:tcW w:w="4477" w:type="dxa"/>
          </w:tcPr>
          <w:p w:rsidR="001D10AC" w:rsidRPr="003132FB" w:rsidRDefault="001D10AC" w:rsidP="00F950E9">
            <w:pPr>
              <w:widowControl/>
              <w:jc w:val="both"/>
              <w:rPr>
                <w:rFonts w:ascii="Tahoma" w:hAnsi="Tahoma"/>
                <w:sz w:val="22"/>
                <w:szCs w:val="20"/>
              </w:rPr>
            </w:pPr>
            <w:r w:rsidRPr="003132FB">
              <w:lastRenderedPageBreak/>
              <w:t>„Pasūtītājs”:</w:t>
            </w:r>
          </w:p>
          <w:p w:rsidR="001D10AC" w:rsidRPr="003132FB" w:rsidRDefault="001D10AC" w:rsidP="00F950E9">
            <w:pPr>
              <w:widowControl/>
              <w:jc w:val="both"/>
              <w:rPr>
                <w:rFonts w:ascii="Tahoma" w:hAnsi="Tahoma"/>
                <w:sz w:val="22"/>
                <w:szCs w:val="20"/>
              </w:rPr>
            </w:pPr>
            <w:r w:rsidRPr="003132FB">
              <w:t>APP Latvijas Organiskās sintēzes institūts</w:t>
            </w:r>
          </w:p>
          <w:p w:rsidR="001D10AC" w:rsidRPr="003132FB" w:rsidRDefault="001D10AC" w:rsidP="00F950E9">
            <w:pPr>
              <w:widowControl/>
              <w:jc w:val="both"/>
            </w:pPr>
            <w:r w:rsidRPr="003132FB">
              <w:t>Reģ.Nr. 90002111653</w:t>
            </w:r>
          </w:p>
          <w:p w:rsidR="001D10AC" w:rsidRPr="003132FB" w:rsidRDefault="001D10AC" w:rsidP="00F950E9">
            <w:pPr>
              <w:widowControl/>
              <w:jc w:val="both"/>
              <w:rPr>
                <w:rFonts w:ascii="Tahoma" w:hAnsi="Tahoma"/>
                <w:sz w:val="22"/>
                <w:szCs w:val="20"/>
              </w:rPr>
            </w:pPr>
            <w:r w:rsidRPr="003132FB">
              <w:t>PVN Reģ.Nr. LV90002111653</w:t>
            </w:r>
          </w:p>
          <w:p w:rsidR="001D10AC" w:rsidRPr="003132FB" w:rsidRDefault="001D10AC" w:rsidP="00F950E9">
            <w:pPr>
              <w:widowControl/>
            </w:pPr>
            <w:r w:rsidRPr="003132FB">
              <w:t>Aizkraukles ielā 21,</w:t>
            </w:r>
          </w:p>
          <w:p w:rsidR="001D10AC" w:rsidRPr="003132FB" w:rsidRDefault="001D10AC" w:rsidP="00F950E9">
            <w:pPr>
              <w:widowControl/>
            </w:pPr>
            <w:r w:rsidRPr="003132FB">
              <w:t>Rīga, LV-1006, Latvija</w:t>
            </w:r>
          </w:p>
          <w:p w:rsidR="001D10AC" w:rsidRPr="003132FB" w:rsidRDefault="001D10AC" w:rsidP="00F950E9">
            <w:pPr>
              <w:widowControl/>
              <w:jc w:val="both"/>
              <w:rPr>
                <w:szCs w:val="20"/>
              </w:rPr>
            </w:pPr>
            <w:r w:rsidRPr="003132FB">
              <w:rPr>
                <w:szCs w:val="20"/>
              </w:rPr>
              <w:t>Valsts Kase</w:t>
            </w:r>
          </w:p>
          <w:p w:rsidR="001D10AC" w:rsidRPr="003132FB" w:rsidRDefault="001D10AC" w:rsidP="00F950E9">
            <w:pPr>
              <w:widowControl/>
              <w:jc w:val="both"/>
              <w:rPr>
                <w:szCs w:val="20"/>
              </w:rPr>
            </w:pPr>
            <w:r w:rsidRPr="003132FB">
              <w:rPr>
                <w:szCs w:val="20"/>
              </w:rPr>
              <w:t>Kods : TRELLLV2X</w:t>
            </w:r>
          </w:p>
          <w:p w:rsidR="001D10AC" w:rsidRPr="003132FB" w:rsidRDefault="001D10AC" w:rsidP="00F950E9">
            <w:pPr>
              <w:widowControl/>
              <w:jc w:val="both"/>
              <w:rPr>
                <w:szCs w:val="20"/>
              </w:rPr>
            </w:pPr>
            <w:r w:rsidRPr="003132FB">
              <w:rPr>
                <w:szCs w:val="20"/>
              </w:rPr>
              <w:t>Konts: LV42TREL9150211012000</w:t>
            </w:r>
          </w:p>
          <w:p w:rsidR="001D10AC" w:rsidRPr="003132FB" w:rsidRDefault="001D10AC" w:rsidP="00F950E9">
            <w:pPr>
              <w:widowControl/>
              <w:jc w:val="both"/>
              <w:rPr>
                <w:szCs w:val="20"/>
              </w:rPr>
            </w:pPr>
          </w:p>
          <w:p w:rsidR="001D10AC" w:rsidRPr="003132FB" w:rsidRDefault="001D10AC" w:rsidP="00F950E9">
            <w:pPr>
              <w:widowControl/>
              <w:jc w:val="both"/>
            </w:pPr>
          </w:p>
          <w:p w:rsidR="001D10AC" w:rsidRPr="003132FB" w:rsidRDefault="001D10AC" w:rsidP="00F950E9">
            <w:pPr>
              <w:widowControl/>
              <w:jc w:val="both"/>
            </w:pPr>
            <w:r w:rsidRPr="003132FB">
              <w:t>Latvijas Organiskās sintēzes institūta</w:t>
            </w:r>
          </w:p>
          <w:p w:rsidR="001D10AC" w:rsidRPr="003132FB" w:rsidRDefault="001D10AC" w:rsidP="00F950E9">
            <w:pPr>
              <w:widowControl/>
              <w:jc w:val="both"/>
            </w:pPr>
            <w:r w:rsidRPr="003132FB">
              <w:t>Direktors:</w:t>
            </w: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rPr>
                <w:rFonts w:ascii="Tahoma" w:hAnsi="Tahoma"/>
                <w:sz w:val="22"/>
                <w:szCs w:val="20"/>
              </w:rPr>
            </w:pPr>
            <w:r>
              <w:t>Osvalds Pugovičs</w:t>
            </w:r>
          </w:p>
          <w:p w:rsidR="001D10AC" w:rsidRPr="003132FB" w:rsidRDefault="001D10AC" w:rsidP="00F950E9">
            <w:pPr>
              <w:widowControl/>
              <w:jc w:val="both"/>
              <w:rPr>
                <w:rFonts w:ascii="Tahoma" w:hAnsi="Tahoma"/>
                <w:sz w:val="22"/>
                <w:szCs w:val="20"/>
              </w:rPr>
            </w:pPr>
          </w:p>
          <w:p w:rsidR="001D10AC" w:rsidRPr="003132FB" w:rsidRDefault="001D10AC" w:rsidP="00F950E9">
            <w:pPr>
              <w:widowControl/>
              <w:jc w:val="both"/>
              <w:rPr>
                <w:color w:val="000000"/>
                <w:spacing w:val="-6"/>
              </w:rPr>
            </w:pPr>
          </w:p>
          <w:p w:rsidR="001D10AC" w:rsidRPr="003132FB" w:rsidRDefault="001D10AC"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1D10AC" w:rsidRPr="003132FB" w:rsidRDefault="001D10AC" w:rsidP="00977F5C">
            <w:pPr>
              <w:widowControl/>
              <w:jc w:val="both"/>
              <w:rPr>
                <w:rFonts w:ascii="Tahoma" w:hAnsi="Tahoma"/>
                <w:bCs/>
                <w:sz w:val="22"/>
                <w:szCs w:val="20"/>
              </w:rPr>
            </w:pPr>
            <w:r w:rsidRPr="003132FB">
              <w:rPr>
                <w:bCs/>
              </w:rPr>
              <w:t xml:space="preserve">„Piegādātājs”  </w:t>
            </w:r>
          </w:p>
          <w:p w:rsidR="001D10AC" w:rsidRPr="003132FB" w:rsidRDefault="001D10AC" w:rsidP="00977F5C">
            <w:pPr>
              <w:widowControl/>
              <w:rPr>
                <w:b/>
              </w:rPr>
            </w:pPr>
            <w:r w:rsidRPr="003132FB">
              <w:rPr>
                <w:b/>
              </w:rPr>
              <w:t xml:space="preserve">„ </w:t>
            </w:r>
            <w:r w:rsidRPr="003132FB">
              <w:rPr>
                <w:b/>
                <w:i/>
              </w:rPr>
              <w:t>Nosaukums</w:t>
            </w:r>
            <w:r w:rsidRPr="003132FB">
              <w:rPr>
                <w:b/>
              </w:rPr>
              <w:t xml:space="preserve">” </w:t>
            </w:r>
          </w:p>
          <w:p w:rsidR="001D10AC" w:rsidRPr="003132FB" w:rsidRDefault="001D10AC" w:rsidP="00977F5C">
            <w:pPr>
              <w:widowControl/>
              <w:rPr>
                <w:i/>
              </w:rPr>
            </w:pPr>
            <w:r w:rsidRPr="003132FB">
              <w:rPr>
                <w:i/>
              </w:rPr>
              <w:t>Reģ.Nr.</w:t>
            </w:r>
          </w:p>
          <w:p w:rsidR="001D10AC" w:rsidRPr="003132FB" w:rsidRDefault="001D10AC" w:rsidP="00977F5C">
            <w:pPr>
              <w:widowControl/>
              <w:rPr>
                <w:i/>
              </w:rPr>
            </w:pPr>
            <w:r w:rsidRPr="003132FB">
              <w:rPr>
                <w:i/>
              </w:rPr>
              <w:t>PVN Reģ.Nr.</w:t>
            </w:r>
          </w:p>
          <w:p w:rsidR="001D10AC" w:rsidRPr="003132FB" w:rsidRDefault="001D10AC" w:rsidP="00977F5C">
            <w:pPr>
              <w:widowControl/>
            </w:pPr>
            <w:r w:rsidRPr="003132FB">
              <w:rPr>
                <w:i/>
              </w:rPr>
              <w:t>Adrese</w:t>
            </w:r>
            <w:r w:rsidRPr="003132FB">
              <w:t>,</w:t>
            </w:r>
          </w:p>
          <w:p w:rsidR="001D10AC" w:rsidRPr="003132FB" w:rsidRDefault="001D10AC" w:rsidP="00977F5C">
            <w:pPr>
              <w:widowControl/>
              <w:rPr>
                <w:i/>
              </w:rPr>
            </w:pPr>
            <w:r w:rsidRPr="003132FB">
              <w:rPr>
                <w:i/>
              </w:rPr>
              <w:t>Pilsēta, pasta indekss, valsts</w:t>
            </w:r>
          </w:p>
          <w:p w:rsidR="001D10AC" w:rsidRPr="003132FB" w:rsidRDefault="001D10AC" w:rsidP="00977F5C">
            <w:pPr>
              <w:widowControl/>
              <w:rPr>
                <w:i/>
              </w:rPr>
            </w:pPr>
            <w:r w:rsidRPr="003132FB">
              <w:rPr>
                <w:i/>
              </w:rPr>
              <w:t>Bankas nosaukums</w:t>
            </w:r>
          </w:p>
          <w:p w:rsidR="001D10AC" w:rsidRPr="003132FB" w:rsidRDefault="001D10AC" w:rsidP="00977F5C">
            <w:pPr>
              <w:widowControl/>
            </w:pPr>
            <w:r w:rsidRPr="003132FB">
              <w:t>Kods: XXXX</w:t>
            </w:r>
          </w:p>
          <w:p w:rsidR="001D10AC" w:rsidRPr="003132FB" w:rsidRDefault="001D10AC" w:rsidP="00977F5C">
            <w:pPr>
              <w:widowControl/>
            </w:pPr>
            <w:r w:rsidRPr="003132FB">
              <w:t>Konts: XXXX</w:t>
            </w:r>
          </w:p>
          <w:p w:rsidR="001D10AC" w:rsidRPr="003132FB" w:rsidRDefault="001D10AC" w:rsidP="00977F5C">
            <w:pPr>
              <w:widowControl/>
              <w:jc w:val="both"/>
            </w:pPr>
          </w:p>
          <w:p w:rsidR="001D10AC" w:rsidRPr="003132FB" w:rsidRDefault="001D10AC" w:rsidP="00977F5C">
            <w:pPr>
              <w:widowControl/>
              <w:jc w:val="both"/>
            </w:pPr>
          </w:p>
          <w:p w:rsidR="001D10AC" w:rsidRPr="003132FB" w:rsidRDefault="001D10AC" w:rsidP="00977F5C">
            <w:pPr>
              <w:widowControl/>
              <w:jc w:val="both"/>
            </w:pPr>
          </w:p>
          <w:p w:rsidR="001D10AC" w:rsidRPr="003132FB" w:rsidRDefault="001D10AC" w:rsidP="00977F5C">
            <w:pPr>
              <w:widowControl/>
              <w:jc w:val="both"/>
            </w:pPr>
            <w:r w:rsidRPr="003132FB">
              <w:rPr>
                <w:i/>
              </w:rPr>
              <w:t>Amata nosaukums</w:t>
            </w:r>
            <w:r w:rsidRPr="003132FB">
              <w:t>:</w:t>
            </w:r>
          </w:p>
          <w:p w:rsidR="001D10AC" w:rsidRPr="003132FB" w:rsidRDefault="001D10AC" w:rsidP="00977F5C">
            <w:pPr>
              <w:widowControl/>
              <w:jc w:val="both"/>
            </w:pPr>
          </w:p>
          <w:p w:rsidR="001D10AC" w:rsidRPr="003132FB" w:rsidRDefault="001D10AC" w:rsidP="00977F5C">
            <w:pPr>
              <w:widowControl/>
              <w:jc w:val="both"/>
            </w:pPr>
          </w:p>
          <w:p w:rsidR="001D10AC" w:rsidRPr="003132FB" w:rsidRDefault="001D10AC" w:rsidP="00977F5C">
            <w:pPr>
              <w:widowControl/>
              <w:jc w:val="both"/>
            </w:pPr>
          </w:p>
          <w:p w:rsidR="001D10AC" w:rsidRPr="003132FB" w:rsidRDefault="001D10AC" w:rsidP="00977F5C">
            <w:pPr>
              <w:widowControl/>
              <w:jc w:val="both"/>
              <w:rPr>
                <w:i/>
              </w:rPr>
            </w:pPr>
            <w:r w:rsidRPr="003132FB">
              <w:rPr>
                <w:i/>
              </w:rPr>
              <w:t>Vārds uzvārds</w:t>
            </w:r>
          </w:p>
          <w:p w:rsidR="001D10AC" w:rsidRPr="003132FB" w:rsidRDefault="001D10AC" w:rsidP="00977F5C">
            <w:pPr>
              <w:widowControl/>
              <w:jc w:val="both"/>
            </w:pPr>
          </w:p>
          <w:p w:rsidR="001D10AC" w:rsidRPr="003132FB" w:rsidRDefault="001D10AC" w:rsidP="00977F5C">
            <w:pPr>
              <w:widowControl/>
              <w:jc w:val="both"/>
              <w:rPr>
                <w:color w:val="000000"/>
                <w:spacing w:val="-6"/>
              </w:rPr>
            </w:pPr>
          </w:p>
          <w:p w:rsidR="001D10AC" w:rsidRPr="003132FB" w:rsidRDefault="001D10AC" w:rsidP="00977F5C">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977F5C">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81" w:name="_Ref313360740"/>
      <w:bookmarkStart w:id="82" w:name="_Toc367361882"/>
    </w:p>
    <w:p w:rsidR="00F950E9" w:rsidRPr="003132FB" w:rsidRDefault="00F950E9" w:rsidP="00F950E9">
      <w:pPr>
        <w:pStyle w:val="Heading2"/>
        <w:numPr>
          <w:ilvl w:val="0"/>
          <w:numId w:val="0"/>
        </w:numPr>
        <w:ind w:left="576"/>
        <w:jc w:val="center"/>
      </w:pPr>
      <w:bookmarkStart w:id="83" w:name="_Toc418085198"/>
      <w:bookmarkStart w:id="84" w:name="_Toc489976897"/>
      <w:r w:rsidRPr="003132FB">
        <w:t>LĪGUMA VISPĀRĪGIE NOTEIKUMI</w:t>
      </w:r>
      <w:bookmarkEnd w:id="81"/>
      <w:bookmarkEnd w:id="82"/>
      <w:bookmarkEnd w:id="83"/>
      <w:bookmarkEnd w:id="84"/>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LĪGUMA PRIEKŠMETS</w:t>
      </w:r>
    </w:p>
    <w:p w:rsidR="00F950E9" w:rsidRPr="003132FB" w:rsidRDefault="00F950E9" w:rsidP="00F950E9">
      <w:pPr>
        <w:rPr>
          <w:b/>
        </w:rPr>
      </w:pPr>
    </w:p>
    <w:p w:rsidR="00F950E9" w:rsidRPr="003132FB" w:rsidRDefault="00F950E9" w:rsidP="00F950E9">
      <w:pPr>
        <w:numPr>
          <w:ilvl w:val="1"/>
          <w:numId w:val="14"/>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F950E9">
      <w:pPr>
        <w:numPr>
          <w:ilvl w:val="1"/>
          <w:numId w:val="14"/>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PIEŅEMŠANAS – NODOŠANAS KĀRTĪBA</w:t>
      </w:r>
    </w:p>
    <w:p w:rsidR="00F950E9" w:rsidRPr="003132FB" w:rsidRDefault="00F950E9" w:rsidP="00F950E9"/>
    <w:p w:rsidR="00F950E9" w:rsidRPr="003132FB" w:rsidRDefault="00F950E9" w:rsidP="00F950E9">
      <w:pPr>
        <w:numPr>
          <w:ilvl w:val="1"/>
          <w:numId w:val="14"/>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F950E9">
      <w:pPr>
        <w:numPr>
          <w:ilvl w:val="2"/>
          <w:numId w:val="14"/>
        </w:numPr>
        <w:ind w:left="1440"/>
        <w:jc w:val="both"/>
      </w:pPr>
      <w:r w:rsidRPr="003132FB">
        <w:t>Preču ekspluatācijas instrukciju latviešu un/vai angļu valodā;</w:t>
      </w:r>
    </w:p>
    <w:p w:rsidR="00F950E9" w:rsidRPr="003132FB" w:rsidRDefault="00F950E9" w:rsidP="00F950E9">
      <w:pPr>
        <w:numPr>
          <w:ilvl w:val="2"/>
          <w:numId w:val="14"/>
        </w:numPr>
        <w:ind w:left="1440"/>
        <w:jc w:val="both"/>
      </w:pPr>
      <w:r w:rsidRPr="003132FB">
        <w:t>Preču tehnisko pasi vai ekvivalentu dokumentu, kas apraksta preču specifiskos parametrus</w:t>
      </w:r>
      <w:r>
        <w:t>;</w:t>
      </w:r>
    </w:p>
    <w:p w:rsidR="00F950E9" w:rsidRPr="003132FB" w:rsidRDefault="00F950E9" w:rsidP="00F950E9">
      <w:pPr>
        <w:numPr>
          <w:ilvl w:val="2"/>
          <w:numId w:val="14"/>
        </w:numPr>
        <w:ind w:left="1440"/>
        <w:jc w:val="both"/>
      </w:pPr>
      <w:r w:rsidRPr="003132FB">
        <w:t>ražotāja(-u) garantijas sertifikātu(-s);</w:t>
      </w:r>
    </w:p>
    <w:p w:rsidR="00F950E9" w:rsidRPr="00EE0212" w:rsidRDefault="00F950E9" w:rsidP="00F950E9">
      <w:pPr>
        <w:numPr>
          <w:ilvl w:val="2"/>
          <w:numId w:val="14"/>
        </w:numPr>
        <w:ind w:left="1440"/>
        <w:jc w:val="both"/>
      </w:pPr>
      <w:r w:rsidRPr="00EE0212">
        <w:t>atbilstības sertifikātus;</w:t>
      </w:r>
    </w:p>
    <w:p w:rsidR="00F950E9" w:rsidRPr="00EE0212" w:rsidRDefault="00F950E9" w:rsidP="00F950E9">
      <w:pPr>
        <w:numPr>
          <w:ilvl w:val="2"/>
          <w:numId w:val="14"/>
        </w:numPr>
        <w:ind w:left="1440"/>
        <w:jc w:val="both"/>
      </w:pPr>
      <w:r w:rsidRPr="00EE0212">
        <w:t>rēķinu;</w:t>
      </w:r>
    </w:p>
    <w:p w:rsidR="00F950E9" w:rsidRPr="00EE0212" w:rsidRDefault="00F950E9" w:rsidP="00F950E9">
      <w:pPr>
        <w:numPr>
          <w:ilvl w:val="2"/>
          <w:numId w:val="14"/>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425164" w:rsidP="00F950E9">
      <w:pPr>
        <w:numPr>
          <w:ilvl w:val="1"/>
          <w:numId w:val="14"/>
        </w:numPr>
        <w:jc w:val="both"/>
      </w:pPr>
      <w:r w:rsidRPr="00EE0212">
        <w:t>Pasūtītājs var pieprasīt Pārdevējam veikt p</w:t>
      </w:r>
      <w:r w:rsidR="00F950E9" w:rsidRPr="00EE0212">
        <w:t>reču piegād</w:t>
      </w:r>
      <w:r w:rsidRPr="00EE0212">
        <w:t>i</w:t>
      </w:r>
      <w:r w:rsidR="0033415A" w:rsidRPr="00EE0212">
        <w:t xml:space="preserve"> pa daļām</w:t>
      </w:r>
      <w:r w:rsidR="00A727F6" w:rsidRPr="00EE0212">
        <w:t>, ja vienlaicīga preču pi</w:t>
      </w:r>
      <w:r w:rsidR="0033415A" w:rsidRPr="00EE0212">
        <w:t>egāde pārmērīgi noslogo Pasūtītā</w:t>
      </w:r>
      <w:r w:rsidR="00A727F6" w:rsidRPr="00EE0212">
        <w:t>ja telpas</w:t>
      </w:r>
      <w:r w:rsidR="00F950E9" w:rsidRPr="00EE0212">
        <w:t>.</w:t>
      </w:r>
    </w:p>
    <w:p w:rsidR="00F950E9" w:rsidRPr="00EE0212" w:rsidRDefault="00F950E9" w:rsidP="00F950E9">
      <w:pPr>
        <w:jc w:val="both"/>
      </w:pPr>
    </w:p>
    <w:p w:rsidR="00F950E9" w:rsidRPr="00EE0212" w:rsidRDefault="00F950E9" w:rsidP="00F950E9">
      <w:pPr>
        <w:numPr>
          <w:ilvl w:val="1"/>
          <w:numId w:val="14"/>
        </w:numPr>
        <w:jc w:val="both"/>
      </w:pPr>
      <w:r w:rsidRPr="00EE0212">
        <w:t>Beigu pieņemšanas-nodošanas aktu Līdzēji paraksta pēc tam, kad ir izpildīti visus šie nosacījumi:</w:t>
      </w:r>
    </w:p>
    <w:p w:rsidR="00F950E9" w:rsidRPr="003132FB" w:rsidRDefault="00F950E9" w:rsidP="00F950E9">
      <w:pPr>
        <w:numPr>
          <w:ilvl w:val="2"/>
          <w:numId w:val="14"/>
        </w:numPr>
        <w:ind w:left="1440"/>
        <w:jc w:val="both"/>
      </w:pPr>
      <w:r w:rsidRPr="003132FB">
        <w:t>Preces ir piegādātas Pasūtītājam;</w:t>
      </w:r>
    </w:p>
    <w:p w:rsidR="00F950E9" w:rsidRPr="003132FB" w:rsidRDefault="00F950E9" w:rsidP="00F950E9">
      <w:pPr>
        <w:numPr>
          <w:ilvl w:val="2"/>
          <w:numId w:val="14"/>
        </w:numPr>
        <w:ind w:left="1440"/>
        <w:jc w:val="both"/>
      </w:pPr>
      <w:r w:rsidRPr="003132FB">
        <w:t>ir veikta Preču uzstādīšana;</w:t>
      </w:r>
    </w:p>
    <w:p w:rsidR="00F950E9" w:rsidRPr="003132FB" w:rsidRDefault="00F950E9" w:rsidP="00F950E9">
      <w:pPr>
        <w:numPr>
          <w:ilvl w:val="2"/>
          <w:numId w:val="14"/>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F950E9">
      <w:pPr>
        <w:numPr>
          <w:ilvl w:val="2"/>
          <w:numId w:val="14"/>
        </w:numPr>
        <w:ind w:left="1440"/>
        <w:jc w:val="both"/>
      </w:pPr>
      <w:r w:rsidRPr="003132FB">
        <w:t>ir veikti galīgās pieņemšanas testi;</w:t>
      </w:r>
    </w:p>
    <w:p w:rsidR="00F950E9" w:rsidRPr="003132FB" w:rsidRDefault="00F950E9" w:rsidP="00F950E9">
      <w:pPr>
        <w:numPr>
          <w:ilvl w:val="2"/>
          <w:numId w:val="14"/>
        </w:numPr>
        <w:ind w:left="1440"/>
        <w:jc w:val="both"/>
      </w:pPr>
      <w:r w:rsidRPr="003132FB">
        <w:t xml:space="preserve">Pārdevējs ir nodevis Pasūtītājam ražotāja tehnisko dokumentāciju, ar Precēm saistīto </w:t>
      </w:r>
      <w:proofErr w:type="spellStart"/>
      <w:r w:rsidRPr="003132FB">
        <w:t>izpilddokumentāciju</w:t>
      </w:r>
      <w:proofErr w:type="spellEnd"/>
      <w:r w:rsidRPr="003132FB">
        <w:t>, kā arī ekspluatācijas un apkopes rokasgrāmatas u.c. dokumentāciju;</w:t>
      </w:r>
    </w:p>
    <w:p w:rsidR="00F950E9" w:rsidRPr="003132FB" w:rsidRDefault="00F950E9" w:rsidP="00F950E9">
      <w:pPr>
        <w:numPr>
          <w:ilvl w:val="2"/>
          <w:numId w:val="14"/>
        </w:numPr>
        <w:ind w:left="1440"/>
        <w:jc w:val="both"/>
      </w:pPr>
      <w:r w:rsidRPr="003132FB">
        <w:t>izlabojis visus atklātos defektus;</w:t>
      </w:r>
    </w:p>
    <w:p w:rsidR="00F950E9" w:rsidRPr="003132FB" w:rsidRDefault="00F950E9" w:rsidP="00F950E9">
      <w:pPr>
        <w:numPr>
          <w:ilvl w:val="2"/>
          <w:numId w:val="14"/>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F950E9">
      <w:pPr>
        <w:numPr>
          <w:ilvl w:val="1"/>
          <w:numId w:val="14"/>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F950E9">
      <w:pPr>
        <w:numPr>
          <w:ilvl w:val="1"/>
          <w:numId w:val="14"/>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F950E9">
      <w:pPr>
        <w:numPr>
          <w:ilvl w:val="1"/>
          <w:numId w:val="14"/>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F950E9">
      <w:pPr>
        <w:numPr>
          <w:ilvl w:val="1"/>
          <w:numId w:val="14"/>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F950E9">
      <w:pPr>
        <w:numPr>
          <w:ilvl w:val="1"/>
          <w:numId w:val="14"/>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F950E9">
      <w:pPr>
        <w:numPr>
          <w:ilvl w:val="1"/>
          <w:numId w:val="14"/>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PRECES IESAIŅOJUMS</w:t>
      </w:r>
    </w:p>
    <w:p w:rsidR="00F950E9" w:rsidRPr="003132FB" w:rsidRDefault="00F950E9" w:rsidP="00F950E9"/>
    <w:p w:rsidR="00F950E9" w:rsidRPr="003132FB" w:rsidRDefault="00F950E9" w:rsidP="00F950E9">
      <w:pPr>
        <w:numPr>
          <w:ilvl w:val="1"/>
          <w:numId w:val="14"/>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F950E9">
      <w:pPr>
        <w:numPr>
          <w:ilvl w:val="1"/>
          <w:numId w:val="14"/>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F950E9">
      <w:pPr>
        <w:numPr>
          <w:ilvl w:val="1"/>
          <w:numId w:val="14"/>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Šajā līgumā minētā garantija ir spēkā </w:t>
      </w:r>
      <w:r w:rsidRPr="003132FB">
        <w:rPr>
          <w:b/>
        </w:rPr>
        <w:t>&lt;</w:t>
      </w:r>
      <w:r>
        <w:rPr>
          <w:b/>
          <w:i/>
        </w:rPr>
        <w:t>gadu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F950E9">
      <w:pPr>
        <w:numPr>
          <w:ilvl w:val="1"/>
          <w:numId w:val="14"/>
        </w:numPr>
        <w:jc w:val="both"/>
      </w:pPr>
      <w:r w:rsidRPr="003132FB">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F950E9">
      <w:pPr>
        <w:numPr>
          <w:ilvl w:val="1"/>
          <w:numId w:val="14"/>
        </w:numPr>
        <w:jc w:val="both"/>
      </w:pPr>
      <w:r w:rsidRPr="003132FB">
        <w:t>Pārdevējs apņemas bez maksas veikt bojātās vai neatbilstošās Preces remontu vai nomaiņu, ja uz radušos defektu attiecas garantijas nosacījumi. Pārdevējs atbild uz garantijas piepra</w:t>
      </w:r>
      <w:r>
        <w:t>sījumu 1</w:t>
      </w:r>
      <w:r w:rsidRPr="003132FB">
        <w:t xml:space="preserve"> (</w:t>
      </w:r>
      <w:r>
        <w:t>vienas</w:t>
      </w:r>
      <w:r w:rsidRPr="003132FB">
        <w:t>) darba dien</w:t>
      </w:r>
      <w:r>
        <w:t>as</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widowControl/>
        <w:numPr>
          <w:ilvl w:val="0"/>
          <w:numId w:val="14"/>
        </w:numPr>
        <w:jc w:val="center"/>
        <w:rPr>
          <w:b/>
        </w:rPr>
      </w:pPr>
      <w:bookmarkStart w:id="85" w:name="_Toc463167311"/>
      <w:r w:rsidRPr="003132FB">
        <w:rPr>
          <w:b/>
        </w:rPr>
        <w:t>APDROŠINĀŠANA</w:t>
      </w:r>
      <w:bookmarkEnd w:id="85"/>
    </w:p>
    <w:p w:rsidR="00F950E9" w:rsidRPr="003132FB" w:rsidRDefault="00F950E9" w:rsidP="00F950E9"/>
    <w:p w:rsidR="00F950E9" w:rsidRPr="003132FB" w:rsidRDefault="00F950E9" w:rsidP="00F950E9">
      <w:pPr>
        <w:numPr>
          <w:ilvl w:val="1"/>
          <w:numId w:val="14"/>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F950E9">
      <w:pPr>
        <w:numPr>
          <w:ilvl w:val="1"/>
          <w:numId w:val="14"/>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F950E9">
      <w:pPr>
        <w:numPr>
          <w:ilvl w:val="1"/>
          <w:numId w:val="14"/>
        </w:numPr>
        <w:ind w:right="-1134"/>
      </w:pPr>
      <w:r w:rsidRPr="003132FB">
        <w:t>Pārdevēja tiesības un pienākumi:</w:t>
      </w:r>
    </w:p>
    <w:p w:rsidR="00F950E9" w:rsidRPr="003132FB" w:rsidRDefault="00F950E9" w:rsidP="00F950E9">
      <w:pPr>
        <w:ind w:right="-1134"/>
      </w:pPr>
    </w:p>
    <w:p w:rsidR="00F950E9" w:rsidRPr="003132FB" w:rsidRDefault="00F950E9" w:rsidP="00F950E9">
      <w:pPr>
        <w:numPr>
          <w:ilvl w:val="2"/>
          <w:numId w:val="14"/>
        </w:numPr>
        <w:jc w:val="both"/>
      </w:pPr>
      <w:r w:rsidRPr="003132FB">
        <w:lastRenderedPageBreak/>
        <w:t>Pārdevējs ir atbildīgs par Preču atbilstību Līguma noteikto un starptautisko standartu prasībām.</w:t>
      </w:r>
    </w:p>
    <w:p w:rsidR="00F950E9" w:rsidRPr="003132FB" w:rsidRDefault="00F950E9" w:rsidP="00F950E9">
      <w:pPr>
        <w:numPr>
          <w:ilvl w:val="2"/>
          <w:numId w:val="14"/>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F950E9">
      <w:pPr>
        <w:numPr>
          <w:ilvl w:val="2"/>
          <w:numId w:val="14"/>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F950E9">
      <w:pPr>
        <w:numPr>
          <w:ilvl w:val="2"/>
          <w:numId w:val="14"/>
        </w:numPr>
        <w:jc w:val="both"/>
      </w:pPr>
      <w:r w:rsidRPr="003132FB">
        <w:t>Pārdevējs apņemas Preču piegādi, kā arī ar tām saistītos pakalpojumus, veikt Pasūtītāja personālam noteiktajā darba laikā.</w:t>
      </w:r>
    </w:p>
    <w:p w:rsidR="00F950E9" w:rsidRPr="003132FB" w:rsidRDefault="00F950E9" w:rsidP="00F950E9">
      <w:pPr>
        <w:numPr>
          <w:ilvl w:val="2"/>
          <w:numId w:val="14"/>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F950E9">
      <w:pPr>
        <w:numPr>
          <w:ilvl w:val="2"/>
          <w:numId w:val="14"/>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F950E9">
      <w:pPr>
        <w:numPr>
          <w:ilvl w:val="1"/>
          <w:numId w:val="14"/>
        </w:numPr>
        <w:jc w:val="both"/>
      </w:pPr>
      <w:r w:rsidRPr="003132FB">
        <w:t>Pasūtītāja tiesības un pienākumi:</w:t>
      </w:r>
    </w:p>
    <w:p w:rsidR="00F950E9" w:rsidRPr="003132FB" w:rsidRDefault="00F950E9" w:rsidP="00F950E9">
      <w:pPr>
        <w:numPr>
          <w:ilvl w:val="2"/>
          <w:numId w:val="14"/>
        </w:numPr>
        <w:jc w:val="both"/>
      </w:pPr>
      <w:r w:rsidRPr="003132FB">
        <w:t>Pasūtītājs apņemas veikt samaksu par Precēm šajā līgumā noteiktajos termiņos un kārtībā.</w:t>
      </w:r>
    </w:p>
    <w:p w:rsidR="00F950E9" w:rsidRPr="003132FB" w:rsidRDefault="00F950E9" w:rsidP="00F950E9">
      <w:pPr>
        <w:numPr>
          <w:ilvl w:val="2"/>
          <w:numId w:val="14"/>
        </w:numPr>
        <w:jc w:val="both"/>
      </w:pPr>
      <w:r w:rsidRPr="003132FB">
        <w:t>Pasūtītājs apņemas parakstīt Preču pieņemšanas-nodošanas aktu, vai arī rakstiski sniegt motivētu atteikumu Preces pieņemt.</w:t>
      </w:r>
    </w:p>
    <w:p w:rsidR="00F950E9" w:rsidRPr="003132FB" w:rsidRDefault="00F950E9" w:rsidP="00F950E9">
      <w:pPr>
        <w:numPr>
          <w:ilvl w:val="2"/>
          <w:numId w:val="14"/>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NORĒĶINU KĀRTĪBA</w:t>
      </w:r>
    </w:p>
    <w:p w:rsidR="00F950E9" w:rsidRPr="003132FB" w:rsidRDefault="00F950E9" w:rsidP="00F950E9">
      <w:pPr>
        <w:jc w:val="both"/>
      </w:pPr>
    </w:p>
    <w:p w:rsidR="00F950E9" w:rsidRPr="003132FB" w:rsidRDefault="00F950E9" w:rsidP="00F950E9">
      <w:pPr>
        <w:numPr>
          <w:ilvl w:val="1"/>
          <w:numId w:val="14"/>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IZMAIŅAS LĪGUMĀ, TĀ DARBĪBAS PĀRTRAUKŠANA</w:t>
      </w:r>
    </w:p>
    <w:p w:rsidR="00F950E9" w:rsidRPr="003132FB" w:rsidRDefault="00F950E9" w:rsidP="00F950E9">
      <w:pPr>
        <w:jc w:val="both"/>
      </w:pPr>
    </w:p>
    <w:p w:rsidR="00F950E9" w:rsidRDefault="00F950E9" w:rsidP="00F950E9">
      <w:pPr>
        <w:numPr>
          <w:ilvl w:val="1"/>
          <w:numId w:val="14"/>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F950E9">
      <w:pPr>
        <w:numPr>
          <w:ilvl w:val="1"/>
          <w:numId w:val="14"/>
        </w:numPr>
        <w:jc w:val="both"/>
      </w:pPr>
      <w:r>
        <w:t>Līguma grozījumi, ja tādi nepieciešami, tiek veikti saskaņā ar PIL 61.panta noteikumiem.</w:t>
      </w:r>
    </w:p>
    <w:p w:rsidR="00F950E9" w:rsidRPr="003132FB" w:rsidRDefault="00F950E9" w:rsidP="00F950E9">
      <w:pPr>
        <w:jc w:val="both"/>
      </w:pPr>
    </w:p>
    <w:p w:rsidR="00F950E9" w:rsidRPr="003132FB" w:rsidRDefault="00F950E9" w:rsidP="00F950E9">
      <w:pPr>
        <w:numPr>
          <w:ilvl w:val="1"/>
          <w:numId w:val="14"/>
        </w:numPr>
        <w:jc w:val="both"/>
      </w:pPr>
      <w:r w:rsidRPr="003132FB">
        <w:t>Līguma cena nedrīkst tikt grozīta un vienību cenas paliek nemainīgas Līguma izpildes laikā.</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vienpusēji pārtraukt Līgumu, nosūtot Pārdevējam rakstisku paziņojumu, ja izpildās kaut viens no zemāk minētajiem nosacījumiem:</w:t>
      </w:r>
    </w:p>
    <w:p w:rsidR="00F950E9" w:rsidRPr="003132FB" w:rsidRDefault="00F950E9" w:rsidP="00F950E9">
      <w:pPr>
        <w:jc w:val="both"/>
      </w:pPr>
    </w:p>
    <w:p w:rsidR="00F950E9" w:rsidRPr="003132FB" w:rsidRDefault="00F950E9" w:rsidP="00F950E9">
      <w:pPr>
        <w:numPr>
          <w:ilvl w:val="2"/>
          <w:numId w:val="14"/>
        </w:numPr>
        <w:ind w:left="1620"/>
        <w:jc w:val="both"/>
      </w:pPr>
      <w:r w:rsidRPr="003132FB">
        <w:t xml:space="preserve">ja Pārdevējs ir nokavējis jebkuru no Līgumā vai tā pielikumos noteiktajiem </w:t>
      </w:r>
      <w:r w:rsidRPr="003132FB">
        <w:lastRenderedPageBreak/>
        <w:t xml:space="preserve">piegādes termiņiem, ieskaitot starptermiņus, un ja Pārdevēja nokavējums ir sasniedzis vismaz 30 (trīsdesmit) dienas; </w:t>
      </w:r>
    </w:p>
    <w:p w:rsidR="00F950E9" w:rsidRDefault="00F950E9" w:rsidP="00F950E9">
      <w:pPr>
        <w:numPr>
          <w:ilvl w:val="2"/>
          <w:numId w:val="14"/>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F950E9">
      <w:pPr>
        <w:numPr>
          <w:ilvl w:val="2"/>
          <w:numId w:val="14"/>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F950E9">
      <w:pPr>
        <w:numPr>
          <w:ilvl w:val="1"/>
          <w:numId w:val="14"/>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LĪDZĒJU ATBILDĪBA</w:t>
      </w:r>
    </w:p>
    <w:p w:rsidR="00F950E9" w:rsidRPr="003132FB" w:rsidRDefault="00F950E9" w:rsidP="00F950E9">
      <w:pPr>
        <w:jc w:val="both"/>
      </w:pPr>
    </w:p>
    <w:p w:rsidR="00F950E9" w:rsidRPr="003132FB" w:rsidRDefault="00F950E9" w:rsidP="00F950E9">
      <w:pPr>
        <w:numPr>
          <w:ilvl w:val="1"/>
          <w:numId w:val="14"/>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F950E9">
      <w:pPr>
        <w:numPr>
          <w:ilvl w:val="1"/>
          <w:numId w:val="14"/>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F950E9">
      <w:pPr>
        <w:numPr>
          <w:ilvl w:val="0"/>
          <w:numId w:val="14"/>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177058">
      <w:pPr>
        <w:numPr>
          <w:ilvl w:val="1"/>
          <w:numId w:val="14"/>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177058">
      <w:pPr>
        <w:numPr>
          <w:ilvl w:val="1"/>
          <w:numId w:val="14"/>
        </w:numPr>
        <w:spacing w:after="240"/>
        <w:jc w:val="both"/>
        <w:rPr>
          <w:caps/>
        </w:rPr>
      </w:pPr>
      <w:r w:rsidRPr="008165C7">
        <w:t>Ja šī līguma izpildē Pārdevējs piesaista apakšuzņēmējus, tad to nomaiņas un jaunu apakšuzņēmēju piesaistīš</w:t>
      </w:r>
      <w:r w:rsidR="003A44AF">
        <w:t>ana tiek veikta saskaņā ar PIL 62</w:t>
      </w:r>
      <w:r w:rsidRPr="008165C7">
        <w:t>.panta noteikumiem.</w:t>
      </w:r>
    </w:p>
    <w:p w:rsidR="00177058" w:rsidRPr="00177058" w:rsidRDefault="00177058" w:rsidP="00177058">
      <w:pPr>
        <w:numPr>
          <w:ilvl w:val="1"/>
          <w:numId w:val="14"/>
        </w:numPr>
        <w:spacing w:after="240"/>
        <w:jc w:val="both"/>
        <w:rPr>
          <w:caps/>
        </w:rPr>
      </w:pPr>
      <w:r w:rsidRPr="00A54BC4">
        <w:t>Tā kā šajā iepirkuma līgumā ietvertie</w:t>
      </w:r>
      <w:r>
        <w:t xml:space="preserve"> pakalpojumi tiek</w:t>
      </w:r>
      <w:r w:rsidRPr="00A54BC4">
        <w:t xml:space="preserve"> sniegti pasūtītāja objektā, pēc </w:t>
      </w:r>
      <w:r w:rsidRPr="00A54BC4">
        <w:lastRenderedPageBreak/>
        <w:t xml:space="preserve">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852FA0">
      <w:pPr>
        <w:numPr>
          <w:ilvl w:val="1"/>
          <w:numId w:val="14"/>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852FA0">
      <w:pPr>
        <w:numPr>
          <w:ilvl w:val="1"/>
          <w:numId w:val="14"/>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852FA0">
      <w:pPr>
        <w:numPr>
          <w:ilvl w:val="1"/>
          <w:numId w:val="14"/>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F950E9">
      <w:pPr>
        <w:numPr>
          <w:ilvl w:val="0"/>
          <w:numId w:val="14"/>
        </w:numPr>
        <w:jc w:val="center"/>
        <w:rPr>
          <w:b/>
        </w:rPr>
      </w:pPr>
      <w:r w:rsidRPr="003132FB">
        <w:rPr>
          <w:b/>
        </w:rPr>
        <w:t>STRĪDU RISINĀŠANAS KĀRTĪBA</w:t>
      </w:r>
    </w:p>
    <w:p w:rsidR="00F950E9" w:rsidRPr="003132FB" w:rsidRDefault="00F950E9" w:rsidP="00F950E9">
      <w:pPr>
        <w:jc w:val="both"/>
      </w:pPr>
    </w:p>
    <w:p w:rsidR="00F950E9" w:rsidRPr="003132FB" w:rsidRDefault="00F950E9" w:rsidP="00F950E9">
      <w:pPr>
        <w:numPr>
          <w:ilvl w:val="1"/>
          <w:numId w:val="14"/>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NEPĀRVARAMA VARA</w:t>
      </w:r>
    </w:p>
    <w:p w:rsidR="00F950E9" w:rsidRPr="003132FB" w:rsidRDefault="00F950E9" w:rsidP="00F950E9">
      <w:pPr>
        <w:jc w:val="both"/>
        <w:rPr>
          <w:b/>
        </w:rPr>
      </w:pPr>
    </w:p>
    <w:p w:rsidR="00F950E9" w:rsidRPr="003132FB" w:rsidRDefault="00F950E9" w:rsidP="00F950E9">
      <w:pPr>
        <w:numPr>
          <w:ilvl w:val="1"/>
          <w:numId w:val="14"/>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F950E9">
      <w:pPr>
        <w:numPr>
          <w:ilvl w:val="1"/>
          <w:numId w:val="14"/>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CITI NOTEIKUMI</w:t>
      </w:r>
    </w:p>
    <w:p w:rsidR="00F950E9" w:rsidRPr="003132FB" w:rsidRDefault="00F950E9" w:rsidP="00F950E9">
      <w:pPr>
        <w:jc w:val="both"/>
      </w:pPr>
    </w:p>
    <w:p w:rsidR="00F950E9" w:rsidRPr="003132FB" w:rsidRDefault="00F950E9" w:rsidP="00F950E9">
      <w:pPr>
        <w:numPr>
          <w:ilvl w:val="1"/>
          <w:numId w:val="14"/>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Šis līgums ir saistošs Pasūtītājam un Pārdevējam, kā arī visām trešajām personām, kas </w:t>
      </w:r>
      <w:r w:rsidRPr="003132FB">
        <w:lastRenderedPageBreak/>
        <w:t>likumīgi pārņem viņu tiesības un pienākumus.</w:t>
      </w:r>
    </w:p>
    <w:p w:rsidR="00F950E9" w:rsidRPr="003132FB" w:rsidRDefault="00F950E9" w:rsidP="00F950E9">
      <w:pPr>
        <w:jc w:val="both"/>
      </w:pPr>
    </w:p>
    <w:p w:rsidR="00F950E9" w:rsidRPr="003132FB" w:rsidRDefault="00F950E9" w:rsidP="00F950E9">
      <w:pPr>
        <w:numPr>
          <w:ilvl w:val="1"/>
          <w:numId w:val="14"/>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F950E9">
      <w:pPr>
        <w:numPr>
          <w:ilvl w:val="1"/>
          <w:numId w:val="14"/>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86" w:name="_Toc367361883"/>
      <w:bookmarkStart w:id="87" w:name="_Toc418085199"/>
      <w:bookmarkStart w:id="88" w:name="_Toc489976898"/>
      <w:r w:rsidRPr="003132FB">
        <w:rPr>
          <w:bCs/>
          <w:iCs/>
          <w:szCs w:val="20"/>
          <w:lang w:eastAsia="lv-LV"/>
        </w:rPr>
        <w:lastRenderedPageBreak/>
        <w:t>Pielikums Nr. 1</w:t>
      </w:r>
      <w:bookmarkEnd w:id="86"/>
      <w:bookmarkEnd w:id="87"/>
      <w:bookmarkEnd w:id="88"/>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89" w:name="TEHNISKĀS_SPECIFIKĀCIJAS_III_2"/>
      <w:r w:rsidRPr="003132FB">
        <w:rPr>
          <w:b/>
          <w:bCs/>
          <w:iCs/>
          <w:caps/>
          <w:sz w:val="28"/>
          <w:szCs w:val="28"/>
        </w:rPr>
        <w:t>Tehniskās specifikācijas</w:t>
      </w:r>
    </w:p>
    <w:bookmarkEnd w:id="89"/>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90" w:name="_Toc367361884"/>
      <w:bookmarkStart w:id="91" w:name="_Toc418085200"/>
      <w:bookmarkStart w:id="92" w:name="_Toc489976899"/>
      <w:r w:rsidRPr="003132FB">
        <w:rPr>
          <w:bCs/>
          <w:iCs/>
          <w:szCs w:val="20"/>
          <w:lang w:eastAsia="lv-LV"/>
        </w:rPr>
        <w:lastRenderedPageBreak/>
        <w:t>Pielikums Nr. 2</w:t>
      </w:r>
      <w:bookmarkEnd w:id="90"/>
      <w:bookmarkEnd w:id="91"/>
      <w:bookmarkEnd w:id="92"/>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93" w:name="_Toc367361885"/>
      <w:bookmarkStart w:id="94" w:name="_Toc418085201"/>
      <w:bookmarkStart w:id="95" w:name="_Toc489976900"/>
      <w:r w:rsidRPr="003132FB">
        <w:rPr>
          <w:bCs/>
          <w:iCs/>
          <w:szCs w:val="20"/>
          <w:lang w:eastAsia="lv-LV"/>
        </w:rPr>
        <w:lastRenderedPageBreak/>
        <w:t>Pielikums Nr. 3</w:t>
      </w:r>
      <w:bookmarkEnd w:id="93"/>
      <w:bookmarkEnd w:id="94"/>
      <w:bookmarkEnd w:id="95"/>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96" w:name="FINANŠU_PIEDĀVĀJUMS_III_3"/>
      <w:r w:rsidRPr="003132FB">
        <w:rPr>
          <w:b/>
          <w:bCs/>
          <w:iCs/>
          <w:caps/>
          <w:sz w:val="28"/>
          <w:szCs w:val="28"/>
        </w:rPr>
        <w:t>Finanšu piedāvājums</w:t>
      </w:r>
    </w:p>
    <w:bookmarkEnd w:id="96"/>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97" w:name="_Ref313360870"/>
      <w:bookmarkStart w:id="98" w:name="_Toc367361886"/>
      <w:bookmarkStart w:id="99" w:name="_Toc418085202"/>
      <w:bookmarkStart w:id="100" w:name="_Toc489976901"/>
      <w:r w:rsidRPr="003132FB">
        <w:rPr>
          <w:bCs/>
          <w:iCs/>
          <w:szCs w:val="20"/>
          <w:lang w:eastAsia="lv-LV"/>
        </w:rPr>
        <w:lastRenderedPageBreak/>
        <w:t>Pielikums Nr. 4</w:t>
      </w:r>
      <w:bookmarkEnd w:id="97"/>
      <w:bookmarkEnd w:id="98"/>
      <w:bookmarkEnd w:id="99"/>
      <w:bookmarkEnd w:id="100"/>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101" w:name="_Toc313875865"/>
      <w:bookmarkStart w:id="102" w:name="_Toc489976902"/>
      <w:bookmarkStart w:id="103" w:name="FORMAS_PIEDĀVĀJUMA_SAGATAVOŠANAI_IV"/>
      <w:r w:rsidRPr="00A66533">
        <w:rPr>
          <w:rFonts w:ascii="Times New Roman" w:hAnsi="Times New Roman" w:cs="Times New Roman"/>
          <w:lang w:val="lv-LV"/>
        </w:rPr>
        <w:t>FORMAS PIEDĀVĀJUMA SAGATAVOŠANAI</w:t>
      </w:r>
      <w:bookmarkEnd w:id="101"/>
      <w:bookmarkEnd w:id="102"/>
    </w:p>
    <w:bookmarkEnd w:id="103"/>
    <w:p w:rsidR="00583833" w:rsidRPr="00A66533" w:rsidRDefault="0013790B" w:rsidP="0013790B">
      <w:pPr>
        <w:jc w:val="center"/>
      </w:pPr>
      <w:r w:rsidRPr="00A66533">
        <w:br w:type="page"/>
      </w:r>
      <w:bookmarkStart w:id="104"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105" w:name="_Toc313875866"/>
      <w:bookmarkStart w:id="106" w:name="_Toc489976903"/>
      <w:r w:rsidRPr="00A66533">
        <w:t>1. FORMA</w:t>
      </w:r>
      <w:bookmarkEnd w:id="104"/>
      <w:bookmarkEnd w:id="105"/>
      <w:bookmarkEnd w:id="106"/>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 xml:space="preserve">OSI </w:t>
      </w:r>
      <w:r w:rsidR="002710D4">
        <w:rPr>
          <w:b/>
        </w:rPr>
        <w:t>2017</w:t>
      </w:r>
      <w:r w:rsidR="00D57F6A">
        <w:rPr>
          <w:b/>
        </w:rPr>
        <w:t>/14</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D57F6A" w:rsidRPr="00D57F6A">
        <w:rPr>
          <w:b/>
        </w:rPr>
        <w:t xml:space="preserve">Aparatūras farmakoloģiskajiem pētījumiem </w:t>
      </w:r>
      <w:r w:rsidR="009E2285" w:rsidRPr="009E2285">
        <w:rPr>
          <w:b/>
        </w:rPr>
        <w:t>piegāde Latvijas Organiskās sintēzes institūtam</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107" w:name="_Toc313875867"/>
      <w:bookmarkStart w:id="108" w:name="_Toc489976904"/>
      <w:r w:rsidRPr="00A66533">
        <w:lastRenderedPageBreak/>
        <w:t>2. FORMA</w:t>
      </w:r>
      <w:bookmarkEnd w:id="107"/>
      <w:bookmarkEnd w:id="108"/>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D57F6A" w:rsidRPr="00D57F6A">
        <w:rPr>
          <w:b/>
        </w:rPr>
        <w:t xml:space="preserve">Aparatūras farmakoloģiskajiem pētījumiem </w:t>
      </w:r>
      <w:r w:rsidR="009E2285" w:rsidRPr="009E2285">
        <w:rPr>
          <w:b/>
        </w:rPr>
        <w:t>piegāde Latvijas Organiskās sintēzes institūtam</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 xml:space="preserve">OSI </w:t>
      </w:r>
      <w:r w:rsidR="002710D4">
        <w:rPr>
          <w:b/>
        </w:rPr>
        <w:t>2017</w:t>
      </w:r>
      <w:r w:rsidR="00D57F6A">
        <w:rPr>
          <w:b/>
        </w:rPr>
        <w:t>/14</w:t>
      </w:r>
      <w:r w:rsidR="00C27235" w:rsidRPr="005377AE">
        <w:rPr>
          <w:b/>
        </w:rPr>
        <w:t xml:space="preserve"> </w:t>
      </w:r>
      <w:r w:rsidR="00F535BE" w:rsidRPr="005377AE">
        <w:rPr>
          <w:b/>
        </w:rPr>
        <w:t>AK</w:t>
      </w:r>
      <w:r w:rsidR="00657C99">
        <w:rPr>
          <w:b/>
        </w:rPr>
        <w:t xml:space="preserve"> ERAF</w:t>
      </w:r>
    </w:p>
    <w:p w:rsidR="00AB200E" w:rsidRDefault="00AB200E" w:rsidP="00AB200E">
      <w:pPr>
        <w:pStyle w:val="Header"/>
        <w:jc w:val="both"/>
        <w:rPr>
          <w:b/>
        </w:rPr>
      </w:pPr>
    </w:p>
    <w:p w:rsidR="00D57F6A" w:rsidRDefault="00D57F6A" w:rsidP="00AB200E">
      <w:pPr>
        <w:pStyle w:val="Header"/>
        <w:jc w:val="both"/>
        <w:rPr>
          <w:b/>
        </w:rPr>
      </w:pPr>
    </w:p>
    <w:p w:rsidR="00D57F6A" w:rsidRPr="005377AE" w:rsidRDefault="00D57F6A" w:rsidP="00D57F6A">
      <w:pPr>
        <w:pStyle w:val="Header"/>
        <w:jc w:val="center"/>
        <w:rPr>
          <w:b/>
        </w:rPr>
      </w:pPr>
      <w:r w:rsidRPr="002F44D1">
        <w:rPr>
          <w:b/>
          <w:i/>
        </w:rPr>
        <w:t>&lt;Lotes Nr. un nosaukums&gt;</w:t>
      </w:r>
    </w:p>
    <w:p w:rsidR="002F44D1" w:rsidRPr="00A66533" w:rsidRDefault="002F44D1" w:rsidP="00AB200E">
      <w:pPr>
        <w:pStyle w:val="Header"/>
        <w:jc w:val="both"/>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Pr="003132FB"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lastRenderedPageBreak/>
        <w:t>Preču piegādes vieta</w:t>
      </w:r>
    </w:p>
    <w:p w:rsidR="00657C99" w:rsidRPr="003132FB" w:rsidRDefault="00657C99" w:rsidP="00657C99">
      <w:pPr>
        <w:pStyle w:val="Header"/>
        <w:jc w:val="both"/>
      </w:pPr>
      <w:r w:rsidRPr="003132FB">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lastRenderedPageBreak/>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D57F6A" w:rsidRPr="00D57F6A">
        <w:rPr>
          <w:b/>
        </w:rPr>
        <w:t xml:space="preserve">Aparatūras farmakoloģiskajiem pētījumiem </w:t>
      </w:r>
      <w:r w:rsidR="009E2285" w:rsidRPr="009E2285">
        <w:rPr>
          <w:b/>
        </w:rPr>
        <w:t>piegāde Latvijas Organiskās sintēzes institūtam</w:t>
      </w:r>
      <w:r w:rsidRPr="005377AE">
        <w:rPr>
          <w:b/>
        </w:rPr>
        <w:t>”</w:t>
      </w:r>
    </w:p>
    <w:p w:rsidR="008C3099" w:rsidRDefault="009E2285" w:rsidP="008C3099">
      <w:pPr>
        <w:pStyle w:val="Header"/>
        <w:rPr>
          <w:b/>
        </w:rPr>
      </w:pPr>
      <w:r>
        <w:rPr>
          <w:b/>
        </w:rPr>
        <w:t xml:space="preserve">ID Nr.: OSI </w:t>
      </w:r>
      <w:r w:rsidR="002710D4">
        <w:rPr>
          <w:b/>
        </w:rPr>
        <w:t>2017</w:t>
      </w:r>
      <w:r w:rsidR="00D57F6A">
        <w:rPr>
          <w:b/>
        </w:rPr>
        <w:t>/14</w:t>
      </w:r>
      <w:r w:rsidR="008C3099" w:rsidRPr="005377AE">
        <w:rPr>
          <w:b/>
        </w:rPr>
        <w:t xml:space="preserve"> AK</w:t>
      </w:r>
      <w:r w:rsidR="00657C99">
        <w:rPr>
          <w:b/>
        </w:rPr>
        <w:t xml:space="preserve"> ERAF</w:t>
      </w:r>
    </w:p>
    <w:p w:rsidR="00D93EA0" w:rsidRDefault="00D93EA0" w:rsidP="008C3099">
      <w:pPr>
        <w:pStyle w:val="Header"/>
        <w:rPr>
          <w:b/>
        </w:rPr>
      </w:pPr>
    </w:p>
    <w:p w:rsidR="00D93EA0" w:rsidRDefault="00D93EA0" w:rsidP="008C3099">
      <w:pPr>
        <w:pStyle w:val="Header"/>
        <w:rPr>
          <w:b/>
        </w:rPr>
      </w:pPr>
    </w:p>
    <w:p w:rsidR="00D57F6A" w:rsidRDefault="00D57F6A" w:rsidP="00D57F6A">
      <w:pPr>
        <w:pStyle w:val="Header"/>
        <w:jc w:val="center"/>
        <w:rPr>
          <w:b/>
        </w:rPr>
      </w:pPr>
      <w:r w:rsidRPr="002F44D1">
        <w:rPr>
          <w:b/>
          <w:i/>
        </w:rPr>
        <w:t>&lt;Lotes Nr. un nosaukums&gt;</w:t>
      </w:r>
    </w:p>
    <w:p w:rsidR="008C3099" w:rsidRDefault="008C3099"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657C99">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109" w:name="_Toc289092139"/>
            <w:bookmarkStart w:id="110" w:name="_Toc289171997"/>
            <w:r w:rsidRPr="003132FB">
              <w:rPr>
                <w:b/>
              </w:rPr>
              <w:t>Kods katalogā</w:t>
            </w:r>
            <w:bookmarkEnd w:id="109"/>
            <w:bookmarkEnd w:id="110"/>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111" w:name="_Toc289092140"/>
            <w:bookmarkStart w:id="112" w:name="_Toc289171998"/>
            <w:r w:rsidRPr="003132FB">
              <w:rPr>
                <w:b/>
              </w:rPr>
              <w:t xml:space="preserve">Preces </w:t>
            </w:r>
            <w:r w:rsidRPr="003132FB">
              <w:t>(vai pakalpojuma)</w:t>
            </w:r>
            <w:r w:rsidRPr="003132FB">
              <w:rPr>
                <w:b/>
              </w:rPr>
              <w:t xml:space="preserve"> nosaukums</w:t>
            </w:r>
            <w:bookmarkEnd w:id="111"/>
            <w:bookmarkEnd w:id="112"/>
          </w:p>
        </w:tc>
        <w:tc>
          <w:tcPr>
            <w:tcW w:w="1134" w:type="dxa"/>
            <w:vAlign w:val="center"/>
          </w:tcPr>
          <w:p w:rsidR="00657C99" w:rsidRPr="003132FB" w:rsidRDefault="00657C99" w:rsidP="00657C99">
            <w:pPr>
              <w:jc w:val="center"/>
              <w:rPr>
                <w:b/>
              </w:rPr>
            </w:pPr>
            <w:bookmarkStart w:id="113" w:name="_Toc289092141"/>
            <w:bookmarkStart w:id="114" w:name="_Toc289171999"/>
            <w:r w:rsidRPr="003132FB">
              <w:rPr>
                <w:b/>
              </w:rPr>
              <w:t>Preces vienība</w:t>
            </w:r>
            <w:bookmarkEnd w:id="113"/>
            <w:bookmarkEnd w:id="114"/>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657C99">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15" w:name="FORMA_IV_4"/>
      <w:r w:rsidRPr="00A66533">
        <w:rPr>
          <w:b/>
        </w:rPr>
        <w:t>FORMAS</w:t>
      </w:r>
      <w:bookmarkEnd w:id="115"/>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16" w:name="_Toc313875869"/>
      <w:bookmarkStart w:id="117" w:name="_Toc489976905"/>
      <w:r>
        <w:t>4</w:t>
      </w:r>
      <w:r w:rsidR="009267EC" w:rsidRPr="00A66533">
        <w:t>.1.FORMA</w:t>
      </w:r>
      <w:bookmarkEnd w:id="116"/>
      <w:bookmarkEnd w:id="117"/>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DA41DB" w:rsidRDefault="00A77C80" w:rsidP="00A77C80">
            <w:pPr>
              <w:rPr>
                <w:b/>
                <w:sz w:val="22"/>
                <w:szCs w:val="22"/>
              </w:rPr>
            </w:pPr>
            <w:r w:rsidRPr="00DA41DB">
              <w:rPr>
                <w:b/>
                <w:sz w:val="22"/>
                <w:szCs w:val="22"/>
              </w:rPr>
              <w:t>Statuss (mazais vai vidējais uzņēmums)</w:t>
            </w:r>
            <w:r w:rsidR="00EF6EDC" w:rsidRPr="00DA41DB">
              <w:rPr>
                <w:b/>
                <w:sz w:val="22"/>
                <w:szCs w:val="22"/>
              </w:rPr>
              <w:t>:</w:t>
            </w:r>
          </w:p>
          <w:p w:rsidR="00A77C80" w:rsidRPr="00DA41DB" w:rsidRDefault="00A77C80" w:rsidP="00A77C80">
            <w:pPr>
              <w:rPr>
                <w:b/>
                <w:sz w:val="20"/>
                <w:szCs w:val="20"/>
              </w:rPr>
            </w:pPr>
            <w:r w:rsidRPr="00DA41DB">
              <w:rPr>
                <w:b/>
                <w:sz w:val="20"/>
                <w:szCs w:val="20"/>
              </w:rPr>
              <w:t>(skat. OV L124, 20.5.2003.)</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18" w:name="_Toc313875870"/>
      <w:bookmarkStart w:id="119" w:name="_Toc489976906"/>
      <w:r>
        <w:t>4</w:t>
      </w:r>
      <w:r w:rsidR="009267EC" w:rsidRPr="00A66533">
        <w:t>.2.FORMA</w:t>
      </w:r>
      <w:bookmarkEnd w:id="118"/>
      <w:bookmarkEnd w:id="119"/>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2"/>
      <w:footerReference w:type="even" r:id="rId13"/>
      <w:footerReference w:type="default" r:id="rId14"/>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C2" w:rsidRDefault="005E3DC2">
      <w:r>
        <w:separator/>
      </w:r>
    </w:p>
    <w:p w:rsidR="005E3DC2" w:rsidRDefault="005E3DC2"/>
    <w:p w:rsidR="005E3DC2" w:rsidRDefault="005E3DC2"/>
  </w:endnote>
  <w:endnote w:type="continuationSeparator" w:id="0">
    <w:p w:rsidR="005E3DC2" w:rsidRDefault="005E3DC2">
      <w:r>
        <w:continuationSeparator/>
      </w:r>
    </w:p>
    <w:p w:rsidR="005E3DC2" w:rsidRDefault="005E3DC2"/>
    <w:p w:rsidR="005E3DC2" w:rsidRDefault="005E3D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C2" w:rsidRDefault="002C15FB">
    <w:pPr>
      <w:pStyle w:val="Footer"/>
      <w:framePr w:wrap="around" w:vAnchor="text" w:hAnchor="margin" w:xAlign="right" w:y="1"/>
      <w:rPr>
        <w:rStyle w:val="PageNumber"/>
      </w:rPr>
    </w:pPr>
    <w:r>
      <w:rPr>
        <w:rStyle w:val="PageNumber"/>
      </w:rPr>
      <w:fldChar w:fldCharType="begin"/>
    </w:r>
    <w:r w:rsidR="005E3DC2">
      <w:rPr>
        <w:rStyle w:val="PageNumber"/>
      </w:rPr>
      <w:instrText xml:space="preserve">PAGE  </w:instrText>
    </w:r>
    <w:r>
      <w:rPr>
        <w:rStyle w:val="PageNumber"/>
      </w:rPr>
      <w:fldChar w:fldCharType="end"/>
    </w:r>
  </w:p>
  <w:p w:rsidR="005E3DC2" w:rsidRDefault="005E3DC2">
    <w:pPr>
      <w:pStyle w:val="Footer"/>
      <w:ind w:right="360"/>
    </w:pPr>
  </w:p>
  <w:p w:rsidR="005E3DC2" w:rsidRDefault="005E3D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C2" w:rsidRDefault="002C15FB" w:rsidP="0013038D">
    <w:pPr>
      <w:pStyle w:val="Footer"/>
      <w:pBdr>
        <w:top w:val="single" w:sz="4" w:space="1" w:color="auto"/>
      </w:pBdr>
      <w:jc w:val="center"/>
    </w:pPr>
    <w:fldSimple w:instr=" PAGE   \* MERGEFORMAT ">
      <w:r w:rsidR="00543AA5">
        <w:rPr>
          <w:noProof/>
        </w:rPr>
        <w:t>7</w:t>
      </w:r>
    </w:fldSimple>
  </w:p>
  <w:p w:rsidR="005E3DC2" w:rsidRDefault="005E3D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C2" w:rsidRDefault="005E3DC2">
      <w:r>
        <w:separator/>
      </w:r>
    </w:p>
    <w:p w:rsidR="005E3DC2" w:rsidRDefault="005E3DC2"/>
    <w:p w:rsidR="005E3DC2" w:rsidRDefault="005E3DC2"/>
  </w:footnote>
  <w:footnote w:type="continuationSeparator" w:id="0">
    <w:p w:rsidR="005E3DC2" w:rsidRDefault="005E3DC2">
      <w:r>
        <w:continuationSeparator/>
      </w:r>
    </w:p>
    <w:p w:rsidR="005E3DC2" w:rsidRDefault="005E3DC2"/>
    <w:p w:rsidR="005E3DC2" w:rsidRDefault="005E3D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C2" w:rsidRPr="00E47C3E" w:rsidRDefault="005E3DC2" w:rsidP="0013038D">
    <w:pPr>
      <w:jc w:val="center"/>
      <w:rPr>
        <w:sz w:val="20"/>
        <w:szCs w:val="20"/>
      </w:rPr>
    </w:pPr>
    <w:r w:rsidRPr="00C11340">
      <w:rPr>
        <w:sz w:val="20"/>
        <w:szCs w:val="20"/>
      </w:rPr>
      <w:t xml:space="preserve">Atklāta konkursa OSI </w:t>
    </w:r>
    <w:r>
      <w:rPr>
        <w:sz w:val="20"/>
        <w:szCs w:val="20"/>
      </w:rPr>
      <w:t>2017/14</w:t>
    </w:r>
    <w:r w:rsidRPr="00C11340">
      <w:rPr>
        <w:sz w:val="20"/>
        <w:szCs w:val="20"/>
      </w:rPr>
      <w:t xml:space="preserve"> AK </w:t>
    </w:r>
    <w:r>
      <w:rPr>
        <w:sz w:val="20"/>
        <w:szCs w:val="20"/>
      </w:rPr>
      <w:t xml:space="preserve">ERAF </w:t>
    </w:r>
    <w:r w:rsidRPr="00C11340">
      <w:rPr>
        <w:sz w:val="20"/>
        <w:szCs w:val="20"/>
      </w:rPr>
      <w:t>nolikums</w:t>
    </w:r>
  </w:p>
  <w:p w:rsidR="005E3DC2" w:rsidRPr="00B949D0" w:rsidRDefault="005E3DC2" w:rsidP="006C2CC4">
    <w:pPr>
      <w:pBdr>
        <w:bottom w:val="single" w:sz="4" w:space="1" w:color="auto"/>
      </w:pBdr>
      <w:ind w:right="-46"/>
      <w:jc w:val="center"/>
      <w:rPr>
        <w:b/>
        <w:sz w:val="16"/>
        <w:szCs w:val="16"/>
        <w:lang w:eastAsia="lv-LV"/>
      </w:rPr>
    </w:pPr>
  </w:p>
  <w:p w:rsidR="005E3DC2" w:rsidRDefault="005E3DC2">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4FE2CAF"/>
    <w:multiLevelType w:val="hybridMultilevel"/>
    <w:tmpl w:val="724C335C"/>
    <w:lvl w:ilvl="0" w:tplc="0426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5AE2012"/>
    <w:multiLevelType w:val="hybridMultilevel"/>
    <w:tmpl w:val="5B2C2E6C"/>
    <w:lvl w:ilvl="0" w:tplc="0426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6">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0CA661B6"/>
    <w:multiLevelType w:val="hybridMultilevel"/>
    <w:tmpl w:val="43BE5368"/>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0640AD1"/>
    <w:multiLevelType w:val="multilevel"/>
    <w:tmpl w:val="651405B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4">
    <w:nsid w:val="155177DC"/>
    <w:multiLevelType w:val="hybridMultilevel"/>
    <w:tmpl w:val="4E38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65B52E7"/>
    <w:multiLevelType w:val="hybridMultilevel"/>
    <w:tmpl w:val="585642D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16600BBC"/>
    <w:multiLevelType w:val="hybridMultilevel"/>
    <w:tmpl w:val="11AC400E"/>
    <w:lvl w:ilvl="0" w:tplc="04260001">
      <w:start w:val="1"/>
      <w:numFmt w:val="bullet"/>
      <w:lvlText w:val=""/>
      <w:lvlJc w:val="left"/>
      <w:pPr>
        <w:ind w:left="2970" w:hanging="360"/>
      </w:pPr>
      <w:rPr>
        <w:rFonts w:ascii="Symbol" w:hAnsi="Symbol" w:hint="default"/>
      </w:rPr>
    </w:lvl>
    <w:lvl w:ilvl="1" w:tplc="04260003" w:tentative="1">
      <w:start w:val="1"/>
      <w:numFmt w:val="bullet"/>
      <w:lvlText w:val="o"/>
      <w:lvlJc w:val="left"/>
      <w:pPr>
        <w:ind w:left="3690" w:hanging="360"/>
      </w:pPr>
      <w:rPr>
        <w:rFonts w:ascii="Courier New" w:hAnsi="Courier New" w:cs="Courier New" w:hint="default"/>
      </w:rPr>
    </w:lvl>
    <w:lvl w:ilvl="2" w:tplc="04260005" w:tentative="1">
      <w:start w:val="1"/>
      <w:numFmt w:val="bullet"/>
      <w:lvlText w:val=""/>
      <w:lvlJc w:val="left"/>
      <w:pPr>
        <w:ind w:left="4410" w:hanging="360"/>
      </w:pPr>
      <w:rPr>
        <w:rFonts w:ascii="Wingdings" w:hAnsi="Wingdings" w:hint="default"/>
      </w:rPr>
    </w:lvl>
    <w:lvl w:ilvl="3" w:tplc="04260001" w:tentative="1">
      <w:start w:val="1"/>
      <w:numFmt w:val="bullet"/>
      <w:lvlText w:val=""/>
      <w:lvlJc w:val="left"/>
      <w:pPr>
        <w:ind w:left="5130" w:hanging="360"/>
      </w:pPr>
      <w:rPr>
        <w:rFonts w:ascii="Symbol" w:hAnsi="Symbol" w:hint="default"/>
      </w:rPr>
    </w:lvl>
    <w:lvl w:ilvl="4" w:tplc="04260003" w:tentative="1">
      <w:start w:val="1"/>
      <w:numFmt w:val="bullet"/>
      <w:lvlText w:val="o"/>
      <w:lvlJc w:val="left"/>
      <w:pPr>
        <w:ind w:left="5850" w:hanging="360"/>
      </w:pPr>
      <w:rPr>
        <w:rFonts w:ascii="Courier New" w:hAnsi="Courier New" w:cs="Courier New" w:hint="default"/>
      </w:rPr>
    </w:lvl>
    <w:lvl w:ilvl="5" w:tplc="04260005" w:tentative="1">
      <w:start w:val="1"/>
      <w:numFmt w:val="bullet"/>
      <w:lvlText w:val=""/>
      <w:lvlJc w:val="left"/>
      <w:pPr>
        <w:ind w:left="6570" w:hanging="360"/>
      </w:pPr>
      <w:rPr>
        <w:rFonts w:ascii="Wingdings" w:hAnsi="Wingdings" w:hint="default"/>
      </w:rPr>
    </w:lvl>
    <w:lvl w:ilvl="6" w:tplc="04260001" w:tentative="1">
      <w:start w:val="1"/>
      <w:numFmt w:val="bullet"/>
      <w:lvlText w:val=""/>
      <w:lvlJc w:val="left"/>
      <w:pPr>
        <w:ind w:left="7290" w:hanging="360"/>
      </w:pPr>
      <w:rPr>
        <w:rFonts w:ascii="Symbol" w:hAnsi="Symbol" w:hint="default"/>
      </w:rPr>
    </w:lvl>
    <w:lvl w:ilvl="7" w:tplc="04260003" w:tentative="1">
      <w:start w:val="1"/>
      <w:numFmt w:val="bullet"/>
      <w:lvlText w:val="o"/>
      <w:lvlJc w:val="left"/>
      <w:pPr>
        <w:ind w:left="8010" w:hanging="360"/>
      </w:pPr>
      <w:rPr>
        <w:rFonts w:ascii="Courier New" w:hAnsi="Courier New" w:cs="Courier New" w:hint="default"/>
      </w:rPr>
    </w:lvl>
    <w:lvl w:ilvl="8" w:tplc="04260005" w:tentative="1">
      <w:start w:val="1"/>
      <w:numFmt w:val="bullet"/>
      <w:lvlText w:val=""/>
      <w:lvlJc w:val="left"/>
      <w:pPr>
        <w:ind w:left="8730" w:hanging="360"/>
      </w:pPr>
      <w:rPr>
        <w:rFonts w:ascii="Wingdings" w:hAnsi="Wingdings" w:hint="default"/>
      </w:rPr>
    </w:lvl>
  </w:abstractNum>
  <w:abstractNum w:abstractNumId="17">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F193257"/>
    <w:multiLevelType w:val="multilevel"/>
    <w:tmpl w:val="EE9A44C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200C1745"/>
    <w:multiLevelType w:val="hybridMultilevel"/>
    <w:tmpl w:val="F13E7E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06040B9"/>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32B6CA0"/>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23FF378D"/>
    <w:multiLevelType w:val="hybridMultilevel"/>
    <w:tmpl w:val="9514C7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42B07E2"/>
    <w:multiLevelType w:val="multilevel"/>
    <w:tmpl w:val="4952413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3A0C1AD5"/>
    <w:multiLevelType w:val="hybridMultilevel"/>
    <w:tmpl w:val="2932B600"/>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3A5354A4"/>
    <w:multiLevelType w:val="hybridMultilevel"/>
    <w:tmpl w:val="3A82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B266E5E"/>
    <w:multiLevelType w:val="hybridMultilevel"/>
    <w:tmpl w:val="BA60881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31">
    <w:nsid w:val="46735F5F"/>
    <w:multiLevelType w:val="hybridMultilevel"/>
    <w:tmpl w:val="0BEEFDD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32">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3">
    <w:nsid w:val="4BF25654"/>
    <w:multiLevelType w:val="hybridMultilevel"/>
    <w:tmpl w:val="1632FE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3AE6F4C"/>
    <w:multiLevelType w:val="hybridMultilevel"/>
    <w:tmpl w:val="FB7E9D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54B5AA3"/>
    <w:multiLevelType w:val="hybridMultilevel"/>
    <w:tmpl w:val="AB7E6E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16D63A0"/>
    <w:multiLevelType w:val="multilevel"/>
    <w:tmpl w:val="54C2FFA0"/>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nsid w:val="629B211F"/>
    <w:multiLevelType w:val="hybridMultilevel"/>
    <w:tmpl w:val="98E8908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30B5F9A"/>
    <w:multiLevelType w:val="hybridMultilevel"/>
    <w:tmpl w:val="A6162B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2">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5842A5C"/>
    <w:multiLevelType w:val="hybridMultilevel"/>
    <w:tmpl w:val="66F091B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44">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7C9F2E92"/>
    <w:multiLevelType w:val="hybridMultilevel"/>
    <w:tmpl w:val="3A206B74"/>
    <w:lvl w:ilvl="0" w:tplc="0426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46">
    <w:nsid w:val="7E5B36B5"/>
    <w:multiLevelType w:val="hybridMultilevel"/>
    <w:tmpl w:val="CC9C3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6"/>
  </w:num>
  <w:num w:numId="3">
    <w:abstractNumId w:val="7"/>
  </w:num>
  <w:num w:numId="4">
    <w:abstractNumId w:val="8"/>
  </w:num>
  <w:num w:numId="5">
    <w:abstractNumId w:val="17"/>
  </w:num>
  <w:num w:numId="6">
    <w:abstractNumId w:val="41"/>
  </w:num>
  <w:num w:numId="7">
    <w:abstractNumId w:val="30"/>
  </w:num>
  <w:num w:numId="8">
    <w:abstractNumId w:val="13"/>
  </w:num>
  <w:num w:numId="9">
    <w:abstractNumId w:val="2"/>
  </w:num>
  <w:num w:numId="10">
    <w:abstractNumId w:val="4"/>
  </w:num>
  <w:num w:numId="11">
    <w:abstractNumId w:val="35"/>
  </w:num>
  <w:num w:numId="12">
    <w:abstractNumId w:val="28"/>
  </w:num>
  <w:num w:numId="13">
    <w:abstractNumId w:val="32"/>
  </w:num>
  <w:num w:numId="14">
    <w:abstractNumId w:val="42"/>
  </w:num>
  <w:num w:numId="15">
    <w:abstractNumId w:val="34"/>
  </w:num>
  <w:num w:numId="16">
    <w:abstractNumId w:val="9"/>
  </w:num>
  <w:num w:numId="17">
    <w:abstractNumId w:val="10"/>
  </w:num>
  <w:num w:numId="18">
    <w:abstractNumId w:val="21"/>
  </w:num>
  <w:num w:numId="19">
    <w:abstractNumId w:val="12"/>
  </w:num>
  <w:num w:numId="20">
    <w:abstractNumId w:val="14"/>
  </w:num>
  <w:num w:numId="21">
    <w:abstractNumId w:val="20"/>
  </w:num>
  <w:num w:numId="22">
    <w:abstractNumId w:val="27"/>
  </w:num>
  <w:num w:numId="23">
    <w:abstractNumId w:val="22"/>
  </w:num>
  <w:num w:numId="24">
    <w:abstractNumId w:val="24"/>
  </w:num>
  <w:num w:numId="25">
    <w:abstractNumId w:val="19"/>
  </w:num>
  <w:num w:numId="26">
    <w:abstractNumId w:val="37"/>
  </w:num>
  <w:num w:numId="27">
    <w:abstractNumId w:val="18"/>
  </w:num>
  <w:num w:numId="28">
    <w:abstractNumId w:val="11"/>
  </w:num>
  <w:num w:numId="29">
    <w:abstractNumId w:val="38"/>
  </w:num>
  <w:num w:numId="30">
    <w:abstractNumId w:val="26"/>
  </w:num>
  <w:num w:numId="31">
    <w:abstractNumId w:val="31"/>
  </w:num>
  <w:num w:numId="32">
    <w:abstractNumId w:val="15"/>
  </w:num>
  <w:num w:numId="33">
    <w:abstractNumId w:val="16"/>
  </w:num>
  <w:num w:numId="34">
    <w:abstractNumId w:val="5"/>
  </w:num>
  <w:num w:numId="35">
    <w:abstractNumId w:val="45"/>
  </w:num>
  <w:num w:numId="36">
    <w:abstractNumId w:val="29"/>
  </w:num>
  <w:num w:numId="37">
    <w:abstractNumId w:val="33"/>
  </w:num>
  <w:num w:numId="38">
    <w:abstractNumId w:val="23"/>
  </w:num>
  <w:num w:numId="39">
    <w:abstractNumId w:val="43"/>
  </w:num>
  <w:num w:numId="40">
    <w:abstractNumId w:val="46"/>
  </w:num>
  <w:num w:numId="41">
    <w:abstractNumId w:val="39"/>
  </w:num>
  <w:num w:numId="42">
    <w:abstractNumId w:val="36"/>
  </w:num>
  <w:num w:numId="43">
    <w:abstractNumId w:val="3"/>
  </w:num>
  <w:num w:numId="44">
    <w:abstractNumId w:val="4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3B3"/>
    <w:rsid w:val="00080D1E"/>
    <w:rsid w:val="00082BEA"/>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4809"/>
    <w:rsid w:val="00134BE0"/>
    <w:rsid w:val="0013584C"/>
    <w:rsid w:val="001360D1"/>
    <w:rsid w:val="001375C0"/>
    <w:rsid w:val="001377EA"/>
    <w:rsid w:val="0013790B"/>
    <w:rsid w:val="001408EC"/>
    <w:rsid w:val="00140F23"/>
    <w:rsid w:val="001411EF"/>
    <w:rsid w:val="00142A04"/>
    <w:rsid w:val="00142B5E"/>
    <w:rsid w:val="001435CC"/>
    <w:rsid w:val="001438C3"/>
    <w:rsid w:val="00144498"/>
    <w:rsid w:val="001459FA"/>
    <w:rsid w:val="00147788"/>
    <w:rsid w:val="00147AEB"/>
    <w:rsid w:val="00150A3E"/>
    <w:rsid w:val="001514FF"/>
    <w:rsid w:val="00151791"/>
    <w:rsid w:val="001517DE"/>
    <w:rsid w:val="001533B5"/>
    <w:rsid w:val="00154101"/>
    <w:rsid w:val="0015516E"/>
    <w:rsid w:val="001559BF"/>
    <w:rsid w:val="001564B5"/>
    <w:rsid w:val="00157241"/>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4FDC"/>
    <w:rsid w:val="0018567F"/>
    <w:rsid w:val="00190F0F"/>
    <w:rsid w:val="001918F3"/>
    <w:rsid w:val="001923B5"/>
    <w:rsid w:val="0019375C"/>
    <w:rsid w:val="00194378"/>
    <w:rsid w:val="00194C6A"/>
    <w:rsid w:val="00194FCC"/>
    <w:rsid w:val="001A1230"/>
    <w:rsid w:val="001A161D"/>
    <w:rsid w:val="001A2F36"/>
    <w:rsid w:val="001A3738"/>
    <w:rsid w:val="001A401B"/>
    <w:rsid w:val="001A4D46"/>
    <w:rsid w:val="001A668F"/>
    <w:rsid w:val="001A7751"/>
    <w:rsid w:val="001B15C9"/>
    <w:rsid w:val="001B1C24"/>
    <w:rsid w:val="001B20A2"/>
    <w:rsid w:val="001B27F3"/>
    <w:rsid w:val="001B52BC"/>
    <w:rsid w:val="001B5D5E"/>
    <w:rsid w:val="001B788F"/>
    <w:rsid w:val="001C030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0AC"/>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B7B"/>
    <w:rsid w:val="00237DAC"/>
    <w:rsid w:val="00241588"/>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0D4"/>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1D2"/>
    <w:rsid w:val="002A02B7"/>
    <w:rsid w:val="002A0CFB"/>
    <w:rsid w:val="002A1B2B"/>
    <w:rsid w:val="002A219F"/>
    <w:rsid w:val="002A4AF5"/>
    <w:rsid w:val="002A502E"/>
    <w:rsid w:val="002A54C3"/>
    <w:rsid w:val="002A6907"/>
    <w:rsid w:val="002B050D"/>
    <w:rsid w:val="002B05FD"/>
    <w:rsid w:val="002B0757"/>
    <w:rsid w:val="002B0FC4"/>
    <w:rsid w:val="002B1937"/>
    <w:rsid w:val="002B205E"/>
    <w:rsid w:val="002B2103"/>
    <w:rsid w:val="002B2F04"/>
    <w:rsid w:val="002B3D0F"/>
    <w:rsid w:val="002B4E61"/>
    <w:rsid w:val="002B4EC8"/>
    <w:rsid w:val="002B5CB7"/>
    <w:rsid w:val="002B6533"/>
    <w:rsid w:val="002B6A02"/>
    <w:rsid w:val="002B6E1B"/>
    <w:rsid w:val="002B76AB"/>
    <w:rsid w:val="002C15FB"/>
    <w:rsid w:val="002C514C"/>
    <w:rsid w:val="002C58D1"/>
    <w:rsid w:val="002C5DC8"/>
    <w:rsid w:val="002C5E51"/>
    <w:rsid w:val="002C6B95"/>
    <w:rsid w:val="002C6C69"/>
    <w:rsid w:val="002D02C8"/>
    <w:rsid w:val="002D1D0B"/>
    <w:rsid w:val="002D1F52"/>
    <w:rsid w:val="002D2BFF"/>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9E6"/>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66C0"/>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3B4D"/>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16E"/>
    <w:rsid w:val="00416EE5"/>
    <w:rsid w:val="004201FF"/>
    <w:rsid w:val="00421BC9"/>
    <w:rsid w:val="00423F95"/>
    <w:rsid w:val="00424309"/>
    <w:rsid w:val="00425164"/>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17BF"/>
    <w:rsid w:val="00513AD9"/>
    <w:rsid w:val="005143A0"/>
    <w:rsid w:val="00514BE8"/>
    <w:rsid w:val="00514CA0"/>
    <w:rsid w:val="0051563E"/>
    <w:rsid w:val="00515E07"/>
    <w:rsid w:val="0051638F"/>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35A7"/>
    <w:rsid w:val="00543AA5"/>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35A9"/>
    <w:rsid w:val="005A3D95"/>
    <w:rsid w:val="005A490C"/>
    <w:rsid w:val="005A5523"/>
    <w:rsid w:val="005A557F"/>
    <w:rsid w:val="005A5F92"/>
    <w:rsid w:val="005A7461"/>
    <w:rsid w:val="005B02F1"/>
    <w:rsid w:val="005B07BD"/>
    <w:rsid w:val="005B0DDD"/>
    <w:rsid w:val="005B1BD8"/>
    <w:rsid w:val="005B2B93"/>
    <w:rsid w:val="005B4430"/>
    <w:rsid w:val="005C0695"/>
    <w:rsid w:val="005C27BB"/>
    <w:rsid w:val="005C2A47"/>
    <w:rsid w:val="005C4915"/>
    <w:rsid w:val="005C596F"/>
    <w:rsid w:val="005C6516"/>
    <w:rsid w:val="005C67F5"/>
    <w:rsid w:val="005C7046"/>
    <w:rsid w:val="005D12C8"/>
    <w:rsid w:val="005D1B3D"/>
    <w:rsid w:val="005D3062"/>
    <w:rsid w:val="005D3B8A"/>
    <w:rsid w:val="005D3BA3"/>
    <w:rsid w:val="005D4FD7"/>
    <w:rsid w:val="005D531D"/>
    <w:rsid w:val="005D7E72"/>
    <w:rsid w:val="005E0775"/>
    <w:rsid w:val="005E07E0"/>
    <w:rsid w:val="005E0975"/>
    <w:rsid w:val="005E1360"/>
    <w:rsid w:val="005E1C6C"/>
    <w:rsid w:val="005E1CEA"/>
    <w:rsid w:val="005E3DC2"/>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378B0"/>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6429"/>
    <w:rsid w:val="006B36ED"/>
    <w:rsid w:val="006B4456"/>
    <w:rsid w:val="006B474D"/>
    <w:rsid w:val="006B5C01"/>
    <w:rsid w:val="006B5DFA"/>
    <w:rsid w:val="006B609F"/>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8FF"/>
    <w:rsid w:val="006E3D48"/>
    <w:rsid w:val="006E443D"/>
    <w:rsid w:val="006E4A52"/>
    <w:rsid w:val="006E73AA"/>
    <w:rsid w:val="006E7CB7"/>
    <w:rsid w:val="006F0BED"/>
    <w:rsid w:val="006F1E1D"/>
    <w:rsid w:val="006F2A26"/>
    <w:rsid w:val="006F3EAE"/>
    <w:rsid w:val="006F599B"/>
    <w:rsid w:val="006F59EE"/>
    <w:rsid w:val="006F63F7"/>
    <w:rsid w:val="006F65D4"/>
    <w:rsid w:val="006F7F54"/>
    <w:rsid w:val="00701535"/>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77AB"/>
    <w:rsid w:val="0072789F"/>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7F676C"/>
    <w:rsid w:val="007F7B36"/>
    <w:rsid w:val="0080064D"/>
    <w:rsid w:val="0080141F"/>
    <w:rsid w:val="00801DDB"/>
    <w:rsid w:val="00803C96"/>
    <w:rsid w:val="00804432"/>
    <w:rsid w:val="00805FB1"/>
    <w:rsid w:val="008066CF"/>
    <w:rsid w:val="00807477"/>
    <w:rsid w:val="00807C3A"/>
    <w:rsid w:val="00807FB8"/>
    <w:rsid w:val="008100CA"/>
    <w:rsid w:val="00810AD0"/>
    <w:rsid w:val="00812885"/>
    <w:rsid w:val="00815742"/>
    <w:rsid w:val="00815CDE"/>
    <w:rsid w:val="00815E22"/>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4CF1"/>
    <w:rsid w:val="00905DA1"/>
    <w:rsid w:val="00905FF2"/>
    <w:rsid w:val="00906D5A"/>
    <w:rsid w:val="00907797"/>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3BFC"/>
    <w:rsid w:val="00934B78"/>
    <w:rsid w:val="0093553B"/>
    <w:rsid w:val="009363B7"/>
    <w:rsid w:val="00940593"/>
    <w:rsid w:val="0094084E"/>
    <w:rsid w:val="00942665"/>
    <w:rsid w:val="00944462"/>
    <w:rsid w:val="00944D15"/>
    <w:rsid w:val="00944F38"/>
    <w:rsid w:val="00945210"/>
    <w:rsid w:val="00945935"/>
    <w:rsid w:val="0094593B"/>
    <w:rsid w:val="009465A8"/>
    <w:rsid w:val="009505E8"/>
    <w:rsid w:val="009522AE"/>
    <w:rsid w:val="00953CFE"/>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493D"/>
    <w:rsid w:val="00986860"/>
    <w:rsid w:val="00986C58"/>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6381"/>
    <w:rsid w:val="00A2658D"/>
    <w:rsid w:val="00A272FD"/>
    <w:rsid w:val="00A278B2"/>
    <w:rsid w:val="00A30962"/>
    <w:rsid w:val="00A30F94"/>
    <w:rsid w:val="00A31148"/>
    <w:rsid w:val="00A328E9"/>
    <w:rsid w:val="00A33662"/>
    <w:rsid w:val="00A3393C"/>
    <w:rsid w:val="00A33BEA"/>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4B42"/>
    <w:rsid w:val="00A76E9B"/>
    <w:rsid w:val="00A77C17"/>
    <w:rsid w:val="00A77C80"/>
    <w:rsid w:val="00A81620"/>
    <w:rsid w:val="00A81AD1"/>
    <w:rsid w:val="00A81E05"/>
    <w:rsid w:val="00A8735B"/>
    <w:rsid w:val="00A91725"/>
    <w:rsid w:val="00A91A2B"/>
    <w:rsid w:val="00A92432"/>
    <w:rsid w:val="00A9265B"/>
    <w:rsid w:val="00A956A8"/>
    <w:rsid w:val="00A95F51"/>
    <w:rsid w:val="00A95FFA"/>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42AD"/>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4855"/>
    <w:rsid w:val="00B56C78"/>
    <w:rsid w:val="00B56DE5"/>
    <w:rsid w:val="00B57236"/>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434"/>
    <w:rsid w:val="00BB6530"/>
    <w:rsid w:val="00BB7443"/>
    <w:rsid w:val="00BC1712"/>
    <w:rsid w:val="00BC24EC"/>
    <w:rsid w:val="00BC262B"/>
    <w:rsid w:val="00BC31F5"/>
    <w:rsid w:val="00BC327C"/>
    <w:rsid w:val="00BC3931"/>
    <w:rsid w:val="00BC4E99"/>
    <w:rsid w:val="00BC5BA0"/>
    <w:rsid w:val="00BC778F"/>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C2"/>
    <w:rsid w:val="00C16353"/>
    <w:rsid w:val="00C1658E"/>
    <w:rsid w:val="00C1680C"/>
    <w:rsid w:val="00C214F1"/>
    <w:rsid w:val="00C22309"/>
    <w:rsid w:val="00C225CE"/>
    <w:rsid w:val="00C22FEA"/>
    <w:rsid w:val="00C23235"/>
    <w:rsid w:val="00C243A4"/>
    <w:rsid w:val="00C252A2"/>
    <w:rsid w:val="00C27235"/>
    <w:rsid w:val="00C27E32"/>
    <w:rsid w:val="00C30CE4"/>
    <w:rsid w:val="00C310CE"/>
    <w:rsid w:val="00C32282"/>
    <w:rsid w:val="00C333BF"/>
    <w:rsid w:val="00C33437"/>
    <w:rsid w:val="00C33594"/>
    <w:rsid w:val="00C339B4"/>
    <w:rsid w:val="00C33FF9"/>
    <w:rsid w:val="00C35447"/>
    <w:rsid w:val="00C368C5"/>
    <w:rsid w:val="00C3749F"/>
    <w:rsid w:val="00C37EB1"/>
    <w:rsid w:val="00C46627"/>
    <w:rsid w:val="00C4680F"/>
    <w:rsid w:val="00C46D2D"/>
    <w:rsid w:val="00C4766B"/>
    <w:rsid w:val="00C47AFA"/>
    <w:rsid w:val="00C47D62"/>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186"/>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BEB"/>
    <w:rsid w:val="00D01C53"/>
    <w:rsid w:val="00D025F1"/>
    <w:rsid w:val="00D038BC"/>
    <w:rsid w:val="00D03A89"/>
    <w:rsid w:val="00D03DBA"/>
    <w:rsid w:val="00D0435C"/>
    <w:rsid w:val="00D0468A"/>
    <w:rsid w:val="00D04C30"/>
    <w:rsid w:val="00D04F54"/>
    <w:rsid w:val="00D050D8"/>
    <w:rsid w:val="00D062EF"/>
    <w:rsid w:val="00D06CDA"/>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57F6A"/>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1070"/>
    <w:rsid w:val="00D910F6"/>
    <w:rsid w:val="00D91ABD"/>
    <w:rsid w:val="00D92A73"/>
    <w:rsid w:val="00D93EA0"/>
    <w:rsid w:val="00D96913"/>
    <w:rsid w:val="00D973AD"/>
    <w:rsid w:val="00DA00FC"/>
    <w:rsid w:val="00DA28E0"/>
    <w:rsid w:val="00DA2DD2"/>
    <w:rsid w:val="00DA39E4"/>
    <w:rsid w:val="00DA41DB"/>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0B31"/>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77BF9"/>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7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141"/>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1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6F1B"/>
    <w:rsid w:val="00FD74BB"/>
    <w:rsid w:val="00FD7D69"/>
    <w:rsid w:val="00FE1070"/>
    <w:rsid w:val="00FE3C3C"/>
    <w:rsid w:val="00FE4E66"/>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color w:val="000000"/>
      <w:spacing w:val="0"/>
      <w:w w:val="100"/>
      <w:sz w:val="13"/>
      <w:szCs w:val="13"/>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18845-C0E4-4B52-B4DD-B13B9F75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4424</TotalTime>
  <Pages>54</Pages>
  <Words>11199</Words>
  <Characters>77953</Characters>
  <Application>Microsoft Office Word</Application>
  <DocSecurity>0</DocSecurity>
  <Lines>649</Lines>
  <Paragraphs>177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88975</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70</cp:revision>
  <cp:lastPrinted>2009-07-17T06:31:00Z</cp:lastPrinted>
  <dcterms:created xsi:type="dcterms:W3CDTF">2017-05-13T11:40:00Z</dcterms:created>
  <dcterms:modified xsi:type="dcterms:W3CDTF">2017-08-09T12:40:00Z</dcterms:modified>
</cp:coreProperties>
</file>