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FC" w:rsidRPr="00503B68" w:rsidRDefault="00762FFC" w:rsidP="00762FFC">
      <w:pPr>
        <w:spacing w:before="130" w:after="130"/>
        <w:rPr>
          <w:b/>
          <w:u w:val="single"/>
          <w:lang w:val="lv-LV"/>
        </w:rPr>
      </w:pPr>
      <w:r w:rsidRPr="00503B68">
        <w:rPr>
          <w:b/>
          <w:lang w:val="lv-LV"/>
        </w:rPr>
        <w:t xml:space="preserve">Latvijas Organiskās sintēzes institūta (OSI) </w:t>
      </w:r>
      <w:proofErr w:type="spellStart"/>
      <w:r w:rsidRPr="006E0497">
        <w:t>pilnveidotās</w:t>
      </w:r>
      <w:proofErr w:type="spellEnd"/>
      <w:r w:rsidRPr="006E0497">
        <w:t xml:space="preserve"> </w:t>
      </w:r>
      <w:proofErr w:type="spellStart"/>
      <w:r w:rsidRPr="006E0497">
        <w:t>resursu</w:t>
      </w:r>
      <w:proofErr w:type="spellEnd"/>
      <w:r w:rsidRPr="006E0497">
        <w:t xml:space="preserve"> </w:t>
      </w:r>
      <w:proofErr w:type="spellStart"/>
      <w:r w:rsidRPr="006E0497">
        <w:t>vadības</w:t>
      </w:r>
      <w:proofErr w:type="spellEnd"/>
      <w:r w:rsidRPr="006E0497">
        <w:t xml:space="preserve"> un </w:t>
      </w:r>
      <w:proofErr w:type="spellStart"/>
      <w:r w:rsidRPr="006E0497">
        <w:t>rezultātu</w:t>
      </w:r>
      <w:proofErr w:type="spellEnd"/>
      <w:r w:rsidRPr="006E0497">
        <w:t xml:space="preserve"> </w:t>
      </w:r>
      <w:proofErr w:type="spellStart"/>
      <w:r w:rsidRPr="006E0497">
        <w:t>pārvaldības</w:t>
      </w:r>
      <w:proofErr w:type="spellEnd"/>
      <w:r w:rsidRPr="006E0497">
        <w:t xml:space="preserve"> </w:t>
      </w:r>
      <w:proofErr w:type="spellStart"/>
      <w:r w:rsidRPr="006E0497">
        <w:t>politikas</w:t>
      </w:r>
      <w:proofErr w:type="spellEnd"/>
      <w:r w:rsidRPr="006E0497">
        <w:t xml:space="preserve"> gala (ex-post) audits</w:t>
      </w:r>
    </w:p>
    <w:p w:rsidR="00BA1BF0" w:rsidRDefault="00BA1BF0" w:rsidP="00BA1BF0">
      <w:pPr>
        <w:pStyle w:val="Virsraksts2"/>
        <w:numPr>
          <w:ilvl w:val="0"/>
          <w:numId w:val="0"/>
        </w:numPr>
        <w:ind w:left="360"/>
        <w:jc w:val="center"/>
        <w:rPr>
          <w:lang w:val="lv-LV"/>
        </w:rPr>
      </w:pPr>
      <w:bookmarkStart w:id="0" w:name="_GoBack"/>
      <w:bookmarkEnd w:id="0"/>
    </w:p>
    <w:p w:rsidR="00BF5120" w:rsidRDefault="00BA1BF0" w:rsidP="00BA1BF0">
      <w:pPr>
        <w:pStyle w:val="Virsraksts2"/>
        <w:numPr>
          <w:ilvl w:val="0"/>
          <w:numId w:val="0"/>
        </w:numPr>
        <w:ind w:left="360"/>
        <w:jc w:val="center"/>
        <w:rPr>
          <w:lang w:val="lv-LV"/>
        </w:rPr>
      </w:pPr>
      <w:r>
        <w:rPr>
          <w:lang w:val="lv-LV"/>
        </w:rPr>
        <w:t xml:space="preserve">1. </w:t>
      </w:r>
      <w:r w:rsidR="00762FFC">
        <w:rPr>
          <w:lang w:val="lv-LV"/>
        </w:rPr>
        <w:t xml:space="preserve">Pielikums. </w:t>
      </w:r>
      <w:proofErr w:type="spellStart"/>
      <w:r w:rsidR="00762FFC">
        <w:rPr>
          <w:lang w:val="lv-LV"/>
        </w:rPr>
        <w:t>Ex-post</w:t>
      </w:r>
      <w:proofErr w:type="spellEnd"/>
      <w:r w:rsidR="00762FFC">
        <w:rPr>
          <w:lang w:val="lv-LV"/>
        </w:rPr>
        <w:t xml:space="preserve"> audita procedūras</w:t>
      </w:r>
    </w:p>
    <w:p w:rsidR="00BA1BF0" w:rsidRPr="00BA1BF0" w:rsidRDefault="00BA1BF0" w:rsidP="00BA1BF0">
      <w:pPr>
        <w:pStyle w:val="Virsraksts3"/>
        <w:numPr>
          <w:ilvl w:val="0"/>
          <w:numId w:val="0"/>
        </w:numPr>
        <w:ind w:left="850"/>
        <w:rPr>
          <w:lang w:val="lv-LV"/>
        </w:rPr>
      </w:pPr>
    </w:p>
    <w:tbl>
      <w:tblPr>
        <w:tblStyle w:val="LightList1"/>
        <w:tblW w:w="15026" w:type="dxa"/>
        <w:tblInd w:w="-294" w:type="dxa"/>
        <w:tblLook w:val="04A0"/>
      </w:tblPr>
      <w:tblGrid>
        <w:gridCol w:w="1219"/>
        <w:gridCol w:w="3743"/>
        <w:gridCol w:w="4796"/>
        <w:gridCol w:w="1701"/>
        <w:gridCol w:w="3567"/>
      </w:tblGrid>
      <w:tr w:rsidR="00BF5120" w:rsidRPr="006856EE" w:rsidTr="00FF602E">
        <w:trPr>
          <w:cnfStyle w:val="100000000000"/>
        </w:trPr>
        <w:tc>
          <w:tcPr>
            <w:cnfStyle w:val="001000000000"/>
            <w:tcW w:w="1219" w:type="dxa"/>
            <w:shd w:val="clear" w:color="auto" w:fill="409DAD"/>
            <w:vAlign w:val="center"/>
          </w:tcPr>
          <w:p w:rsidR="00BF5120" w:rsidRPr="00AD32A0" w:rsidRDefault="00BF5120" w:rsidP="00AF189B">
            <w:pPr>
              <w:jc w:val="center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Nr. </w:t>
            </w:r>
            <w:r w:rsidRPr="00AD32A0">
              <w:rPr>
                <w:i/>
                <w:sz w:val="22"/>
                <w:szCs w:val="22"/>
                <w:lang w:val="lv-LV"/>
              </w:rPr>
              <w:t>Pārbaudes lapā</w:t>
            </w:r>
          </w:p>
        </w:tc>
        <w:tc>
          <w:tcPr>
            <w:tcW w:w="3743" w:type="dxa"/>
            <w:shd w:val="clear" w:color="auto" w:fill="409DAD"/>
            <w:vAlign w:val="center"/>
          </w:tcPr>
          <w:p w:rsidR="00BF5120" w:rsidRPr="00AD32A0" w:rsidRDefault="00BF5120" w:rsidP="00AF189B">
            <w:pPr>
              <w:cnfStyle w:val="1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Pārbaužu procedūras </w:t>
            </w:r>
          </w:p>
          <w:p w:rsidR="00BF5120" w:rsidRPr="00AD32A0" w:rsidRDefault="00BF5120" w:rsidP="00AF189B">
            <w:pPr>
              <w:cnfStyle w:val="1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(pilnu sarakstu skat. dokumentā </w:t>
            </w:r>
            <w:r w:rsidRPr="00AD32A0">
              <w:rPr>
                <w:i/>
                <w:sz w:val="22"/>
                <w:szCs w:val="22"/>
                <w:lang w:val="lv-LV"/>
              </w:rPr>
              <w:t>Pārbaudes lapa</w:t>
            </w:r>
            <w:r w:rsidRPr="00AD32A0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4796" w:type="dxa"/>
            <w:tcBorders>
              <w:bottom w:val="single" w:sz="4" w:space="0" w:color="auto"/>
            </w:tcBorders>
            <w:shd w:val="clear" w:color="auto" w:fill="409DAD"/>
            <w:vAlign w:val="center"/>
          </w:tcPr>
          <w:p w:rsidR="00BF5120" w:rsidRPr="00AD32A0" w:rsidRDefault="00BF5120" w:rsidP="00AF189B">
            <w:pPr>
              <w:cnfStyle w:val="1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Pārbaudes veids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09DAD"/>
            <w:vAlign w:val="center"/>
          </w:tcPr>
          <w:p w:rsidR="00BF5120" w:rsidRPr="00AD32A0" w:rsidRDefault="0085616B" w:rsidP="00295E26">
            <w:pPr>
              <w:cnfStyle w:val="10000000000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Izlases</w:t>
            </w:r>
            <w:r w:rsidR="00986B13">
              <w:rPr>
                <w:sz w:val="22"/>
                <w:szCs w:val="22"/>
                <w:lang w:val="lv-LV"/>
              </w:rPr>
              <w:t xml:space="preserve"> bāze</w:t>
            </w:r>
          </w:p>
        </w:tc>
        <w:tc>
          <w:tcPr>
            <w:tcW w:w="3567" w:type="dxa"/>
            <w:tcBorders>
              <w:bottom w:val="single" w:sz="4" w:space="0" w:color="auto"/>
            </w:tcBorders>
            <w:shd w:val="clear" w:color="auto" w:fill="409DAD"/>
            <w:vAlign w:val="center"/>
          </w:tcPr>
          <w:p w:rsidR="00BF5120" w:rsidRPr="00AD32A0" w:rsidRDefault="006856EE" w:rsidP="006856EE">
            <w:pPr>
              <w:cnfStyle w:val="10000000000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</w:t>
            </w:r>
            <w:r w:rsidRPr="00AD32A0">
              <w:rPr>
                <w:sz w:val="22"/>
                <w:szCs w:val="22"/>
                <w:lang w:val="lv-LV"/>
              </w:rPr>
              <w:t>okumentu</w:t>
            </w:r>
            <w:r w:rsidR="00BF5120" w:rsidRPr="00AD32A0">
              <w:rPr>
                <w:sz w:val="22"/>
                <w:szCs w:val="22"/>
                <w:lang w:val="lv-LV"/>
              </w:rPr>
              <w:t>, izdruku vai aprēķinu saraksts</w:t>
            </w:r>
          </w:p>
        </w:tc>
      </w:tr>
      <w:tr w:rsidR="00BF5120" w:rsidRPr="00AD32A0" w:rsidTr="00FF602E">
        <w:trPr>
          <w:cnfStyle w:val="000000100000"/>
        </w:trPr>
        <w:tc>
          <w:tcPr>
            <w:cnfStyle w:val="001000000000"/>
            <w:tcW w:w="15026" w:type="dxa"/>
            <w:gridSpan w:val="5"/>
            <w:tcBorders>
              <w:right w:val="single" w:sz="4" w:space="0" w:color="auto"/>
            </w:tcBorders>
            <w:shd w:val="clear" w:color="auto" w:fill="99FFCC"/>
          </w:tcPr>
          <w:p w:rsidR="00BF5120" w:rsidRPr="00AD32A0" w:rsidRDefault="00BF5120" w:rsidP="00BA1BF0">
            <w:pPr>
              <w:pStyle w:val="Bullet"/>
              <w:numPr>
                <w:ilvl w:val="0"/>
                <w:numId w:val="0"/>
              </w:numPr>
              <w:spacing w:beforeLines="40" w:afterLines="40"/>
              <w:jc w:val="both"/>
              <w:rPr>
                <w:rFonts w:cs="Times New Roman"/>
                <w:b w:val="0"/>
                <w:bCs w:val="0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Izmaksas</w:t>
            </w:r>
          </w:p>
        </w:tc>
      </w:tr>
      <w:tr w:rsidR="00BF5120" w:rsidRPr="00CE3491" w:rsidTr="00FF602E">
        <w:tc>
          <w:tcPr>
            <w:cnfStyle w:val="001000000000"/>
            <w:tcW w:w="1219" w:type="dxa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t>1.1.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Tiek nodrošināta PO nesaimnieciskās pamatdarbības, saimnieciskās pamatdarbības un pārējās saimnieciskās darbības finanšu plūsmu nodalīšana izmaksām.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Detalizētā metode (salīdzināt transakcijas pret attaisnojuma dokumentiem un pārbaudīt vai grāmatojumu klasifikācija ir atbilstoša).</w:t>
            </w:r>
          </w:p>
          <w:p w:rsidR="00BF5120" w:rsidRPr="00AD32A0" w:rsidRDefault="00BF5120" w:rsidP="00BA1BF0">
            <w:pPr>
              <w:spacing w:beforeLines="40" w:afterLines="20"/>
              <w:jc w:val="both"/>
              <w:cnfStyle w:val="0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Atsevišķi tiek pārbaudīta datu kopa:</w:t>
            </w:r>
          </w:p>
          <w:p w:rsidR="00BF5120" w:rsidRPr="00AD32A0" w:rsidRDefault="00BF5120" w:rsidP="00BA1BF0">
            <w:pPr>
              <w:pStyle w:val="Bullet"/>
              <w:spacing w:beforeLines="20" w:afterLines="20"/>
              <w:ind w:left="324"/>
              <w:jc w:val="both"/>
              <w:cnfStyle w:val="0000000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Visas PO izmaksas, atskaitot nolietojumu.</w:t>
            </w:r>
          </w:p>
          <w:p w:rsidR="00BF5120" w:rsidRPr="00AD32A0" w:rsidRDefault="00BF5120" w:rsidP="00BA1BF0">
            <w:pPr>
              <w:pStyle w:val="Bullet"/>
              <w:numPr>
                <w:ilvl w:val="0"/>
                <w:numId w:val="0"/>
              </w:numPr>
              <w:spacing w:beforeLines="20" w:afterLines="40"/>
              <w:jc w:val="both"/>
              <w:cnfStyle w:val="0000000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Pārbaude ietver izvēlēties arī rēķinus un salīdzināt pret grāmatvedības ierakstiem.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120" w:rsidRPr="00AD32A0" w:rsidRDefault="00295E26" w:rsidP="00BA1BF0">
            <w:pPr>
              <w:spacing w:beforeLines="40"/>
              <w:jc w:val="center"/>
              <w:cnfStyle w:val="00000000000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Izmaksu transakcijas, v</w:t>
            </w:r>
            <w:r w:rsidR="00BF5120" w:rsidRPr="00AD32A0">
              <w:rPr>
                <w:sz w:val="22"/>
                <w:szCs w:val="22"/>
                <w:lang w:val="lv-LV"/>
              </w:rPr>
              <w:t>ismaz 1 no struktūrfondu projekta.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0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Izdruka no PO grāmatvedības sistēmas ar izmaksu detalizētu apgrozījumu (pa grāmatojumiem, ar visām grāmatvedības dimensijām) par pārskata periodu.</w:t>
            </w:r>
          </w:p>
        </w:tc>
      </w:tr>
      <w:tr w:rsidR="00BF5120" w:rsidRPr="00CE3491" w:rsidTr="00FF602E">
        <w:trPr>
          <w:cnfStyle w:val="000000100000"/>
        </w:trPr>
        <w:tc>
          <w:tcPr>
            <w:cnfStyle w:val="001000000000"/>
            <w:tcW w:w="1219" w:type="dxa"/>
            <w:vMerge w:val="restart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t>1.2.</w:t>
            </w:r>
          </w:p>
        </w:tc>
        <w:tc>
          <w:tcPr>
            <w:tcW w:w="3743" w:type="dxa"/>
            <w:vMerge w:val="restart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Netiešās izmaksas tiek attiecinātas uz projektiem ievērojot PO grāmatvedības politikā noteiktos principus. Izmaksas tiek attiecinātas matemātiski pareizi.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20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Detalizētā metode. Pārbaudes veids ir atkarīgs no tā vai aprēķins notiek automātiski vai manuāli:</w:t>
            </w:r>
          </w:p>
          <w:p w:rsidR="00BF5120" w:rsidRPr="00AD32A0" w:rsidRDefault="00BF5120" w:rsidP="00BA1BF0">
            <w:pPr>
              <w:numPr>
                <w:ilvl w:val="0"/>
                <w:numId w:val="3"/>
              </w:numPr>
              <w:spacing w:beforeLines="20" w:afterLines="40"/>
              <w:ind w:left="295" w:hanging="295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Manuāli (piemēram, izmantojot programmu </w:t>
            </w:r>
            <w:proofErr w:type="spellStart"/>
            <w:r w:rsidRPr="00AD32A0">
              <w:rPr>
                <w:sz w:val="22"/>
                <w:szCs w:val="22"/>
                <w:lang w:val="lv-LV"/>
              </w:rPr>
              <w:t>MsExcel</w:t>
            </w:r>
            <w:proofErr w:type="spellEnd"/>
            <w:r w:rsidRPr="00AD32A0">
              <w:rPr>
                <w:sz w:val="22"/>
                <w:szCs w:val="22"/>
                <w:lang w:val="lv-LV"/>
              </w:rPr>
              <w:t xml:space="preserve">) – izskatīt pārbaudāmo failu, pārliecinoties par formulu pareizību. Salīdzināt </w:t>
            </w:r>
            <w:proofErr w:type="spellStart"/>
            <w:r w:rsidRPr="00AD32A0">
              <w:rPr>
                <w:sz w:val="22"/>
                <w:szCs w:val="22"/>
                <w:lang w:val="lv-LV"/>
              </w:rPr>
              <w:t>MsExcel</w:t>
            </w:r>
            <w:proofErr w:type="spellEnd"/>
            <w:r w:rsidRPr="00AD32A0">
              <w:rPr>
                <w:sz w:val="22"/>
                <w:szCs w:val="22"/>
                <w:lang w:val="lv-LV"/>
              </w:rPr>
              <w:t xml:space="preserve"> faila ievaddatu pareizumu salīdzinot pret informāciju grāmatvedībā.</w:t>
            </w:r>
          </w:p>
          <w:p w:rsidR="00BF5120" w:rsidRPr="00AD32A0" w:rsidRDefault="00BF5120" w:rsidP="00BA1BF0">
            <w:pPr>
              <w:spacing w:beforeLines="20" w:afterLines="20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Pārbaude ietver:</w:t>
            </w:r>
          </w:p>
          <w:p w:rsidR="00BF5120" w:rsidRPr="00AD32A0" w:rsidRDefault="00BF5120" w:rsidP="00BA1BF0">
            <w:pPr>
              <w:pStyle w:val="Bullet"/>
              <w:spacing w:beforeLines="20" w:afterLines="20"/>
              <w:ind w:left="324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Pārbaude pret politiku;</w:t>
            </w:r>
          </w:p>
          <w:p w:rsidR="00BF5120" w:rsidRPr="00AD32A0" w:rsidRDefault="00BF5120" w:rsidP="00BA1BF0">
            <w:pPr>
              <w:pStyle w:val="Bullet"/>
              <w:spacing w:beforeLines="20" w:afterLines="20"/>
              <w:ind w:left="324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Ievaddatu pārbaude (pret grāmatvedības atskaitēm)</w:t>
            </w:r>
          </w:p>
          <w:p w:rsidR="00BF5120" w:rsidRPr="00AD32A0" w:rsidRDefault="00BF5120" w:rsidP="00BA1BF0">
            <w:pPr>
              <w:pStyle w:val="Bullet"/>
              <w:spacing w:beforeLines="20" w:afterLines="20"/>
              <w:ind w:left="324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Formulu pareizība.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120" w:rsidRPr="00AD32A0" w:rsidRDefault="00295E26" w:rsidP="00BA1BF0">
            <w:pPr>
              <w:spacing w:beforeLines="40" w:after="96"/>
              <w:jc w:val="center"/>
              <w:cnfStyle w:val="00000010000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</w:t>
            </w:r>
            <w:r w:rsidR="00BF5120" w:rsidRPr="00AD32A0">
              <w:rPr>
                <w:sz w:val="22"/>
                <w:szCs w:val="22"/>
                <w:lang w:val="lv-LV"/>
              </w:rPr>
              <w:t>ēne</w:t>
            </w:r>
            <w:r>
              <w:rPr>
                <w:sz w:val="22"/>
                <w:szCs w:val="22"/>
                <w:lang w:val="lv-LV"/>
              </w:rPr>
              <w:t>sis</w:t>
            </w:r>
            <w:r w:rsidR="00BF5120" w:rsidRPr="00AD32A0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(ja izmaksu bāze ir mēnesis)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Grāmatvedības politika;</w:t>
            </w:r>
          </w:p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Mēneša netiešo izmaksu aprēķins (</w:t>
            </w:r>
            <w:proofErr w:type="spellStart"/>
            <w:r w:rsidRPr="00AD32A0">
              <w:rPr>
                <w:rFonts w:cs="Times New Roman"/>
                <w:sz w:val="22"/>
                <w:lang w:val="lv-LV"/>
              </w:rPr>
              <w:t>MsExcel</w:t>
            </w:r>
            <w:proofErr w:type="spellEnd"/>
            <w:r w:rsidRPr="00AD32A0">
              <w:rPr>
                <w:rFonts w:cs="Times New Roman"/>
                <w:sz w:val="22"/>
                <w:lang w:val="lv-LV"/>
              </w:rPr>
              <w:t xml:space="preserve"> fails); </w:t>
            </w:r>
          </w:p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Netiešo izmaksu kopsumma par pārbaudāmajiem mēnešiem;</w:t>
            </w:r>
          </w:p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Pārskats par pārbaudāmā mēneša visu PO projektu tiešo izmaksu kopsummu (ja netiešās izmaksas tiek sadalītas uz projektiem balstoties uz tiešo izmaksu lieluma).</w:t>
            </w:r>
          </w:p>
        </w:tc>
      </w:tr>
      <w:tr w:rsidR="00BF5120" w:rsidRPr="00CE3491" w:rsidTr="00FF602E">
        <w:tc>
          <w:tcPr>
            <w:cnfStyle w:val="001000000000"/>
            <w:tcW w:w="1219" w:type="dxa"/>
            <w:vMerge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</w:p>
        </w:tc>
        <w:tc>
          <w:tcPr>
            <w:tcW w:w="3743" w:type="dxa"/>
            <w:vMerge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000000"/>
              <w:rPr>
                <w:sz w:val="22"/>
                <w:szCs w:val="22"/>
                <w:lang w:val="lv-LV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numPr>
                <w:ilvl w:val="0"/>
                <w:numId w:val="3"/>
              </w:numPr>
              <w:spacing w:beforeLines="40" w:afterLines="40"/>
              <w:ind w:left="297" w:hanging="297"/>
              <w:jc w:val="both"/>
              <w:cnfStyle w:val="0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Automātiski – pārbaudi var veikt izskatot programmas sākotnējo kodu vai visi algoritmi, saskaņā ar grāmatvedības politiku, ir iestrādāti programmā. Ja sākotnējo kodu tehniski nevar izskatīt, nepieciešams izstrādāt matemātisko modeli un pārbaudīt aprēķinu 1 mēnesim.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120" w:rsidRPr="00AD32A0" w:rsidRDefault="00295E26" w:rsidP="00BA1BF0">
            <w:pPr>
              <w:spacing w:beforeLines="40" w:afterLines="40"/>
              <w:jc w:val="center"/>
              <w:cnfStyle w:val="00000000000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0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Pieeja pie sākotnējā koda;</w:t>
            </w:r>
          </w:p>
          <w:p w:rsidR="00BF5120" w:rsidRPr="00AD32A0" w:rsidRDefault="00BF5120" w:rsidP="00BA1BF0">
            <w:pPr>
              <w:pStyle w:val="Bullet"/>
              <w:numPr>
                <w:ilvl w:val="0"/>
                <w:numId w:val="0"/>
              </w:numPr>
              <w:spacing w:beforeLines="40" w:afterLines="40"/>
              <w:jc w:val="both"/>
              <w:cnfStyle w:val="0000000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vai</w:t>
            </w:r>
          </w:p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0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Netiešo izmaksu kopsumma par pārbaudāmajiem mēnešiem;</w:t>
            </w:r>
          </w:p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0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Pārskats par pārbaudāmā mēneša visu PO projektu tiešo izmaksu kopsummu (ja netiešās izmaksas tiek sadalītas uz projektiem balstoties uz tiešo izmaksu lieluma).</w:t>
            </w:r>
          </w:p>
        </w:tc>
      </w:tr>
      <w:tr w:rsidR="00BF5120" w:rsidRPr="00CE3491" w:rsidTr="00FF602E">
        <w:trPr>
          <w:cnfStyle w:val="000000100000"/>
        </w:trPr>
        <w:tc>
          <w:tcPr>
            <w:cnfStyle w:val="001000000000"/>
            <w:tcW w:w="1219" w:type="dxa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t>1.3.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PO veic pakalpojumu, produktu, tehnoloģiju, prototipu un intelektuālo īpašumu pašizmaksas aprēķināšanu, piešķirot šiem līgumiem (peļņas centriem) atsevišķu grāmatvedības dimensiju.</w:t>
            </w:r>
          </w:p>
          <w:p w:rsidR="00BF5120" w:rsidRPr="00AD32A0" w:rsidRDefault="00BF5120" w:rsidP="00BA1BF0">
            <w:pPr>
              <w:spacing w:beforeLines="40" w:afterLines="40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PO pielietotā pakalpojumu, produktu, tehnoloģiju, prototipu un intelektuālo īpašumu pašizmaksas aprēķināšanas metode ir saskaņā ar PO grāmatvedības politikā noteiktajiem principiem ir matemātiski pareiza.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pStyle w:val="Bullet"/>
              <w:numPr>
                <w:ilvl w:val="0"/>
                <w:numId w:val="0"/>
              </w:numPr>
              <w:spacing w:beforeLines="40" w:afterLines="40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u w:val="single"/>
                <w:lang w:val="lv-LV"/>
              </w:rPr>
              <w:t>Detalizētā metode</w:t>
            </w:r>
            <w:r w:rsidRPr="00AD32A0">
              <w:rPr>
                <w:rFonts w:cs="Times New Roman"/>
                <w:sz w:val="22"/>
                <w:lang w:val="lv-LV"/>
              </w:rPr>
              <w:t xml:space="preserve">: </w:t>
            </w:r>
          </w:p>
          <w:p w:rsidR="00BF5120" w:rsidRPr="00AD32A0" w:rsidRDefault="00BF5120" w:rsidP="00BA1BF0">
            <w:pPr>
              <w:numPr>
                <w:ilvl w:val="0"/>
                <w:numId w:val="4"/>
              </w:numPr>
              <w:spacing w:beforeLines="40" w:afterLines="40"/>
              <w:ind w:left="297" w:hanging="297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Tiešo izmaksu attiecināšana uz projektu ir pārbaudīta procedūrā 1.1;</w:t>
            </w:r>
          </w:p>
          <w:p w:rsidR="00BF5120" w:rsidRPr="00AD32A0" w:rsidRDefault="00BF5120" w:rsidP="00BA1BF0">
            <w:pPr>
              <w:numPr>
                <w:ilvl w:val="0"/>
                <w:numId w:val="4"/>
              </w:numPr>
              <w:spacing w:beforeLines="40" w:afterLines="40"/>
              <w:ind w:left="297" w:hanging="297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Netiešo izmaksu attiecināšana uz projektu ir pārbaudīta procedūrā 1.2 – piedokumentējam šo pārbaudi 1 projekta ietvaros.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120" w:rsidRPr="00AD32A0" w:rsidRDefault="00BF5120" w:rsidP="00BA1BF0">
            <w:pPr>
              <w:spacing w:beforeLines="40" w:afterLines="40"/>
              <w:jc w:val="center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1 līguma pārbaude par pārskata gadu (no procedū</w:t>
            </w:r>
            <w:r w:rsidR="00AB273B">
              <w:rPr>
                <w:sz w:val="22"/>
                <w:szCs w:val="22"/>
                <w:lang w:val="lv-LV"/>
              </w:rPr>
              <w:t>ras 1.2) – sākotnējās izpratnes</w:t>
            </w:r>
            <w:r w:rsidRPr="00AD32A0">
              <w:rPr>
                <w:sz w:val="22"/>
                <w:szCs w:val="22"/>
                <w:lang w:val="lv-LV"/>
              </w:rPr>
              <w:t xml:space="preserve"> pārbaudes ietvaros.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1 atlasītā līguma detalizēts izmaksu apgrozījuma pārskats (no grāmatvedības sistēmas) par pārskata gadu.</w:t>
            </w:r>
          </w:p>
        </w:tc>
      </w:tr>
      <w:tr w:rsidR="00BF5120" w:rsidRPr="00AD32A0" w:rsidTr="00FF602E">
        <w:tc>
          <w:tcPr>
            <w:cnfStyle w:val="001000000000"/>
            <w:tcW w:w="15026" w:type="dxa"/>
            <w:gridSpan w:val="5"/>
            <w:tcBorders>
              <w:right w:val="single" w:sz="4" w:space="0" w:color="auto"/>
            </w:tcBorders>
            <w:shd w:val="clear" w:color="auto" w:fill="99FFCC"/>
          </w:tcPr>
          <w:p w:rsidR="00BF5120" w:rsidRPr="00AD32A0" w:rsidRDefault="00BF5120" w:rsidP="00BA1BF0">
            <w:pPr>
              <w:pStyle w:val="Bullet"/>
              <w:numPr>
                <w:ilvl w:val="0"/>
                <w:numId w:val="0"/>
              </w:numPr>
              <w:spacing w:beforeLines="40" w:afterLines="40"/>
              <w:jc w:val="both"/>
              <w:rPr>
                <w:rFonts w:cs="Times New Roman"/>
                <w:b w:val="0"/>
                <w:bCs w:val="0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Ilgtermiņa aktīvi</w:t>
            </w:r>
          </w:p>
        </w:tc>
      </w:tr>
      <w:tr w:rsidR="00BF5120" w:rsidRPr="006856EE" w:rsidTr="00FF602E">
        <w:trPr>
          <w:cnfStyle w:val="000000100000"/>
        </w:trPr>
        <w:tc>
          <w:tcPr>
            <w:cnfStyle w:val="001000000000"/>
            <w:tcW w:w="1219" w:type="dxa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t>2.1.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Tiek nodrošināta PO nesaimnieciskās pamatdarbības, saimnieciskās pamatdarbības un pārējās saimnieciskās darbības finanšu plūsmu nodalīšana ilgtermiņa aktīviem.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Detalizētā metode (salīdzināt transakcijas pret attaisnojuma dokumentiem un pārbaudīt vai grāmatojumu klasifikācija ir atbilstoša).</w:t>
            </w:r>
          </w:p>
          <w:p w:rsidR="00BF5120" w:rsidRPr="00AD32A0" w:rsidRDefault="00BF5120" w:rsidP="00BA1BF0">
            <w:pPr>
              <w:spacing w:beforeLines="40" w:afterLines="40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Atsevišķi tiek pārbaudīta datu kopa:</w:t>
            </w:r>
          </w:p>
          <w:p w:rsidR="00BF5120" w:rsidRPr="00AD32A0" w:rsidRDefault="00BF5120" w:rsidP="00BA1BF0">
            <w:pPr>
              <w:pStyle w:val="Bullet"/>
              <w:spacing w:beforeLines="40" w:afterLines="40"/>
              <w:ind w:left="322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Visi PO ilgtermiņa aktīvi.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986B13" w:rsidP="00986B13">
            <w:pPr>
              <w:jc w:val="center"/>
              <w:cnfStyle w:val="00000010000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Pamatlīdzekļu transakcijas, v</w:t>
            </w:r>
            <w:r w:rsidRPr="00AD32A0">
              <w:rPr>
                <w:sz w:val="22"/>
                <w:szCs w:val="22"/>
                <w:lang w:val="lv-LV"/>
              </w:rPr>
              <w:t>ismaz 1 no struktūrfondu projekta.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6856EE" w:rsidP="00BA1BF0">
            <w:pPr>
              <w:pStyle w:val="Bullet"/>
              <w:spacing w:beforeLines="40" w:afterLines="40"/>
              <w:ind w:left="238" w:hanging="238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  <w:r>
              <w:rPr>
                <w:rFonts w:cs="Times New Roman"/>
                <w:sz w:val="22"/>
                <w:lang w:val="lv-LV"/>
              </w:rPr>
              <w:t>V</w:t>
            </w:r>
            <w:r w:rsidRPr="00AD32A0">
              <w:rPr>
                <w:rFonts w:cs="Times New Roman"/>
                <w:sz w:val="22"/>
                <w:lang w:val="lv-LV"/>
              </w:rPr>
              <w:t xml:space="preserve">isu </w:t>
            </w:r>
            <w:r w:rsidR="00AB273B">
              <w:rPr>
                <w:rFonts w:cs="Times New Roman"/>
                <w:sz w:val="22"/>
                <w:lang w:val="lv-LV"/>
              </w:rPr>
              <w:t>PO ilgtermiņa aktīvu saraksts.</w:t>
            </w:r>
          </w:p>
        </w:tc>
      </w:tr>
      <w:tr w:rsidR="00BF5120" w:rsidRPr="00CE3491" w:rsidTr="00FF602E">
        <w:tc>
          <w:tcPr>
            <w:cnfStyle w:val="001000000000"/>
            <w:tcW w:w="1219" w:type="dxa"/>
            <w:vMerge w:val="restart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t>2.2.</w:t>
            </w:r>
          </w:p>
        </w:tc>
        <w:tc>
          <w:tcPr>
            <w:tcW w:w="3743" w:type="dxa"/>
            <w:vMerge w:val="restart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Nolietojums tiek sadalīts, balstoties uz </w:t>
            </w:r>
            <w:r w:rsidRPr="00AD32A0">
              <w:rPr>
                <w:sz w:val="22"/>
                <w:szCs w:val="22"/>
                <w:lang w:val="lv-LV"/>
              </w:rPr>
              <w:lastRenderedPageBreak/>
              <w:t>pamatlīdzekļa izmantošanas vienību atskaiti (piemēram, mašīnstundu uzskaites kopsavilkums), ja to ir iespējams sadalīt tieši.</w:t>
            </w:r>
          </w:p>
          <w:p w:rsidR="00BF5120" w:rsidRPr="00AD32A0" w:rsidRDefault="00BF5120" w:rsidP="00BA1BF0">
            <w:pPr>
              <w:spacing w:beforeLines="40" w:afterLines="40"/>
              <w:jc w:val="both"/>
              <w:cnfStyle w:val="000000000000"/>
              <w:rPr>
                <w:sz w:val="22"/>
                <w:szCs w:val="22"/>
                <w:lang w:val="lv-LV"/>
              </w:rPr>
            </w:pPr>
          </w:p>
          <w:p w:rsidR="00BF5120" w:rsidRPr="00AD32A0" w:rsidRDefault="00BF5120" w:rsidP="00BA1BF0">
            <w:pPr>
              <w:spacing w:beforeLines="40" w:afterLines="40"/>
              <w:jc w:val="both"/>
              <w:cnfStyle w:val="0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Infrastruktūras projektiem, kuriem  ir iespējams iepriekš objektīvi paredzēt ieņēmumus, tiek atbilstoši koriģēts nolietojuma apmērs (attiecināmās izmaksas)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lastRenderedPageBreak/>
              <w:t xml:space="preserve">Detalizētā metode (nolietojuma (izmaksu) </w:t>
            </w:r>
            <w:r w:rsidRPr="00AD32A0">
              <w:rPr>
                <w:sz w:val="22"/>
                <w:szCs w:val="22"/>
                <w:lang w:val="lv-LV"/>
              </w:rPr>
              <w:lastRenderedPageBreak/>
              <w:t>pārrēķins (vai nolietojums ir matemātiski pareizi aprēķināts)). Pārbaudes veids ir atkarīgs no tā vai aprēķins notiek automātiski vai manuāli:</w:t>
            </w:r>
          </w:p>
          <w:p w:rsidR="00BF5120" w:rsidRPr="00AD32A0" w:rsidRDefault="00BF5120" w:rsidP="00BA1BF0">
            <w:pPr>
              <w:numPr>
                <w:ilvl w:val="0"/>
                <w:numId w:val="5"/>
              </w:numPr>
              <w:spacing w:beforeLines="40" w:afterLines="40"/>
              <w:ind w:left="297" w:hanging="297"/>
              <w:jc w:val="both"/>
              <w:cnfStyle w:val="0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Automātiski – pārbaude par to vai grāmatvedības sistēma ir automātiski pareizi aprēķinājusi nolietojumu. Piemērotās likmes ir saskaņā ar grāmatvedības politiku.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center"/>
              <w:cnfStyle w:val="000000000000"/>
              <w:rPr>
                <w:sz w:val="22"/>
                <w:szCs w:val="22"/>
                <w:lang w:val="lv-LV"/>
              </w:rPr>
            </w:pPr>
          </w:p>
          <w:p w:rsidR="00BF5120" w:rsidRPr="00AD32A0" w:rsidRDefault="00BF5120" w:rsidP="00BA1BF0">
            <w:pPr>
              <w:spacing w:beforeLines="40" w:afterLines="40"/>
              <w:jc w:val="center"/>
              <w:cnfStyle w:val="000000000000"/>
              <w:rPr>
                <w:sz w:val="22"/>
                <w:szCs w:val="22"/>
                <w:lang w:val="lv-LV"/>
              </w:rPr>
            </w:pPr>
          </w:p>
          <w:p w:rsidR="00BF5120" w:rsidRPr="00AD32A0" w:rsidRDefault="00BF5120" w:rsidP="00BA1BF0">
            <w:pPr>
              <w:spacing w:beforeLines="40" w:afterLines="40"/>
              <w:jc w:val="center"/>
              <w:cnfStyle w:val="000000000000"/>
              <w:rPr>
                <w:sz w:val="22"/>
                <w:szCs w:val="22"/>
                <w:lang w:val="lv-LV"/>
              </w:rPr>
            </w:pPr>
          </w:p>
          <w:p w:rsidR="00BF5120" w:rsidRPr="00AD32A0" w:rsidRDefault="00BF5120" w:rsidP="00BA1BF0">
            <w:pPr>
              <w:spacing w:beforeLines="40" w:afterLines="40"/>
              <w:jc w:val="center"/>
              <w:cnfStyle w:val="0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1 pamatlīdzeklis no katras nolietojuma grupas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0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lastRenderedPageBreak/>
              <w:t xml:space="preserve">Pamatlīdzekļu reģistrs; </w:t>
            </w:r>
          </w:p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0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lastRenderedPageBreak/>
              <w:t>Visu PO pam</w:t>
            </w:r>
            <w:r w:rsidR="00AB273B">
              <w:rPr>
                <w:rFonts w:cs="Times New Roman"/>
                <w:sz w:val="22"/>
                <w:lang w:val="lv-LV"/>
              </w:rPr>
              <w:t>atlīdzekļu nolietojuma izmaksas.</w:t>
            </w:r>
          </w:p>
        </w:tc>
      </w:tr>
      <w:tr w:rsidR="00BF5120" w:rsidRPr="00AD32A0" w:rsidTr="00FF602E">
        <w:trPr>
          <w:cnfStyle w:val="000000100000"/>
        </w:trPr>
        <w:tc>
          <w:tcPr>
            <w:cnfStyle w:val="001000000000"/>
            <w:tcW w:w="1219" w:type="dxa"/>
            <w:vMerge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</w:p>
        </w:tc>
        <w:tc>
          <w:tcPr>
            <w:tcW w:w="3743" w:type="dxa"/>
            <w:vMerge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pStyle w:val="Bullet"/>
              <w:numPr>
                <w:ilvl w:val="0"/>
                <w:numId w:val="0"/>
              </w:numPr>
              <w:spacing w:beforeLines="40" w:afterLines="40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numPr>
                <w:ilvl w:val="0"/>
                <w:numId w:val="5"/>
              </w:numPr>
              <w:spacing w:beforeLines="40" w:afterLines="40"/>
              <w:ind w:left="297" w:hanging="297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Manuāli (piemēram, izmantojot programmu </w:t>
            </w:r>
            <w:proofErr w:type="spellStart"/>
            <w:r w:rsidRPr="00AD32A0">
              <w:rPr>
                <w:sz w:val="22"/>
                <w:szCs w:val="22"/>
                <w:lang w:val="lv-LV"/>
              </w:rPr>
              <w:t>MsExcel</w:t>
            </w:r>
            <w:proofErr w:type="spellEnd"/>
            <w:r w:rsidRPr="00AD32A0">
              <w:rPr>
                <w:sz w:val="22"/>
                <w:szCs w:val="22"/>
                <w:lang w:val="lv-LV"/>
              </w:rPr>
              <w:t>) – izskatīt pārbaudāmo failu, pārliecinoties par formulu pareizību.</w:t>
            </w:r>
          </w:p>
          <w:p w:rsidR="00BF5120" w:rsidRPr="00AD32A0" w:rsidRDefault="00BF5120" w:rsidP="00BA1BF0">
            <w:pPr>
              <w:spacing w:beforeLines="40" w:afterLines="40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Atsevišķa pārbaude par to kā nolietojums tiek rēķināts pamatlīdzekļu uzlabojumiem.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986B13" w:rsidP="00BA1BF0">
            <w:pPr>
              <w:spacing w:beforeLines="40" w:afterLines="40"/>
              <w:jc w:val="center"/>
              <w:cnfStyle w:val="00000010000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Mēnesis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Pamatlīdzekļu nolietojuma aprēķina fails</w:t>
            </w:r>
          </w:p>
        </w:tc>
      </w:tr>
      <w:tr w:rsidR="00BF5120" w:rsidRPr="00AD32A0" w:rsidTr="00FF602E">
        <w:tc>
          <w:tcPr>
            <w:cnfStyle w:val="001000000000"/>
            <w:tcW w:w="1219" w:type="dxa"/>
            <w:vMerge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</w:p>
        </w:tc>
        <w:tc>
          <w:tcPr>
            <w:tcW w:w="3743" w:type="dxa"/>
            <w:vMerge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pStyle w:val="Bullet"/>
              <w:numPr>
                <w:ilvl w:val="0"/>
                <w:numId w:val="0"/>
              </w:numPr>
              <w:spacing w:beforeLines="40" w:afterLines="40"/>
              <w:ind w:left="322"/>
              <w:jc w:val="both"/>
              <w:cnfStyle w:val="000000000000"/>
              <w:rPr>
                <w:rFonts w:cs="Times New Roman"/>
                <w:sz w:val="22"/>
                <w:lang w:val="lv-LV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Detalizētā metode (atlasītajiem pamatlīdzekļiem vai izmaksas uz projektiem tiek sadalītas balstoties uz pamatlīdzekļa izmantošanas vienību atskaiti). Pārbaudes veids ir atkarīgs no tā vai aprēķins notiek automātiski vai manuāli:</w:t>
            </w:r>
          </w:p>
          <w:p w:rsidR="00BF5120" w:rsidRPr="00AD32A0" w:rsidRDefault="00BF5120" w:rsidP="00BA1BF0">
            <w:pPr>
              <w:numPr>
                <w:ilvl w:val="0"/>
                <w:numId w:val="6"/>
              </w:numPr>
              <w:spacing w:beforeLines="40" w:afterLines="40"/>
              <w:ind w:left="297" w:hanging="297"/>
              <w:jc w:val="both"/>
              <w:cnfStyle w:val="0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shd w:val="clear" w:color="auto" w:fill="FFFFFF" w:themeFill="background1"/>
                <w:lang w:val="lv-LV"/>
              </w:rPr>
              <w:t xml:space="preserve">Manuāli (piemēram, izmantojot programmu </w:t>
            </w:r>
            <w:proofErr w:type="spellStart"/>
            <w:r w:rsidRPr="00AD32A0">
              <w:rPr>
                <w:sz w:val="22"/>
                <w:szCs w:val="22"/>
                <w:shd w:val="clear" w:color="auto" w:fill="FFFFFF" w:themeFill="background1"/>
                <w:lang w:val="lv-LV"/>
              </w:rPr>
              <w:t>MsExcel</w:t>
            </w:r>
            <w:proofErr w:type="spellEnd"/>
            <w:r w:rsidRPr="00AD32A0">
              <w:rPr>
                <w:sz w:val="22"/>
                <w:szCs w:val="22"/>
                <w:shd w:val="clear" w:color="auto" w:fill="FFFFFF" w:themeFill="background1"/>
                <w:lang w:val="lv-LV"/>
              </w:rPr>
              <w:t>) – izskatīt pārbaudāmo failu, pārliecinoties par formulu pareizību atlasītajiem pamatlīdzekļiem.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6B" w:rsidRPr="00AD32A0" w:rsidRDefault="00BF5120" w:rsidP="00BA1BF0">
            <w:pPr>
              <w:spacing w:beforeLines="40"/>
              <w:jc w:val="center"/>
              <w:cnfStyle w:val="0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Pamatlīdzekļ</w:t>
            </w:r>
            <w:r w:rsidR="0085616B">
              <w:rPr>
                <w:sz w:val="22"/>
                <w:szCs w:val="22"/>
                <w:lang w:val="lv-LV"/>
              </w:rPr>
              <w:t>i</w:t>
            </w:r>
            <w:r w:rsidRPr="00AD32A0">
              <w:rPr>
                <w:sz w:val="22"/>
                <w:szCs w:val="22"/>
                <w:lang w:val="lv-LV"/>
              </w:rPr>
              <w:t xml:space="preserve">, pārbaude veicama </w:t>
            </w:r>
            <w:r w:rsidR="0085616B">
              <w:rPr>
                <w:sz w:val="22"/>
                <w:szCs w:val="22"/>
                <w:lang w:val="lv-LV"/>
              </w:rPr>
              <w:t>1</w:t>
            </w:r>
            <w:r w:rsidRPr="00AD32A0">
              <w:rPr>
                <w:sz w:val="22"/>
                <w:szCs w:val="22"/>
                <w:lang w:val="lv-LV"/>
              </w:rPr>
              <w:t xml:space="preserve"> mēne</w:t>
            </w:r>
            <w:r w:rsidR="0085616B">
              <w:rPr>
                <w:sz w:val="22"/>
                <w:szCs w:val="22"/>
                <w:lang w:val="lv-LV"/>
              </w:rPr>
              <w:t>sim</w:t>
            </w:r>
            <w:r w:rsidRPr="00AD32A0">
              <w:rPr>
                <w:sz w:val="22"/>
                <w:szCs w:val="22"/>
                <w:lang w:val="lv-LV"/>
              </w:rPr>
              <w:t xml:space="preserve"> </w:t>
            </w:r>
          </w:p>
          <w:p w:rsidR="00BF5120" w:rsidRPr="00AD32A0" w:rsidRDefault="00BF5120" w:rsidP="00AF189B">
            <w:pPr>
              <w:jc w:val="center"/>
              <w:cnfStyle w:val="000000000000"/>
              <w:rPr>
                <w:sz w:val="22"/>
                <w:szCs w:val="22"/>
                <w:lang w:val="lv-LV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0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Mēneša nolietojuma sadales par projektiem aprēķins (</w:t>
            </w:r>
            <w:proofErr w:type="spellStart"/>
            <w:r w:rsidRPr="00AD32A0">
              <w:rPr>
                <w:rFonts w:cs="Times New Roman"/>
                <w:sz w:val="22"/>
                <w:lang w:val="lv-LV"/>
              </w:rPr>
              <w:t>MsExcel</w:t>
            </w:r>
            <w:proofErr w:type="spellEnd"/>
            <w:r w:rsidRPr="00AD32A0">
              <w:rPr>
                <w:rFonts w:cs="Times New Roman"/>
                <w:sz w:val="22"/>
                <w:lang w:val="lv-LV"/>
              </w:rPr>
              <w:t xml:space="preserve"> fails).</w:t>
            </w:r>
          </w:p>
        </w:tc>
      </w:tr>
      <w:tr w:rsidR="00BF5120" w:rsidRPr="00AD32A0" w:rsidTr="00FF602E">
        <w:trPr>
          <w:cnfStyle w:val="000000100000"/>
        </w:trPr>
        <w:tc>
          <w:tcPr>
            <w:cnfStyle w:val="001000000000"/>
            <w:tcW w:w="1219" w:type="dxa"/>
            <w:vMerge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</w:p>
        </w:tc>
        <w:tc>
          <w:tcPr>
            <w:tcW w:w="3743" w:type="dxa"/>
            <w:vMerge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pStyle w:val="Bullet"/>
              <w:numPr>
                <w:ilvl w:val="0"/>
                <w:numId w:val="0"/>
              </w:numPr>
              <w:spacing w:beforeLines="40" w:afterLines="40"/>
              <w:ind w:left="322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120" w:rsidRPr="00AD32A0" w:rsidRDefault="00BF5120" w:rsidP="00BA1BF0">
            <w:pPr>
              <w:numPr>
                <w:ilvl w:val="0"/>
                <w:numId w:val="6"/>
              </w:numPr>
              <w:spacing w:beforeLines="40" w:afterLines="40"/>
              <w:ind w:left="297" w:hanging="297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Automātiski – pārbaudi var veikt izskatot programmas sākotnējo kodu vai visi algoritmi, saskaņā ar grāmatvedības politiku, ir iestrādāti programmā. Ja sākotnējo kodu tehniski nevar izskatīt, nepieciešams izstrādāt matemātisko modeli un pārbaudīt aprēķinu 1 mēnesim.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85616B" w:rsidP="00BA1BF0">
            <w:pPr>
              <w:spacing w:beforeLines="40" w:afterLines="40"/>
              <w:jc w:val="center"/>
              <w:cnfStyle w:val="00000010000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Mēnesis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Pieeja pie sākotnējā koda;</w:t>
            </w:r>
          </w:p>
          <w:p w:rsidR="00BF5120" w:rsidRPr="00AD32A0" w:rsidRDefault="00BF5120" w:rsidP="00BA1BF0">
            <w:pPr>
              <w:pStyle w:val="Bullet"/>
              <w:numPr>
                <w:ilvl w:val="0"/>
                <w:numId w:val="0"/>
              </w:numPr>
              <w:spacing w:beforeLines="40" w:afterLines="40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vai</w:t>
            </w:r>
          </w:p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Pamatlīdzekļa laika uzskaites karte.</w:t>
            </w:r>
          </w:p>
        </w:tc>
      </w:tr>
      <w:tr w:rsidR="00BF5120" w:rsidRPr="00CE3491" w:rsidTr="00FF602E">
        <w:tc>
          <w:tcPr>
            <w:cnfStyle w:val="001000000000"/>
            <w:tcW w:w="1219" w:type="dxa"/>
            <w:vMerge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center"/>
              <w:rPr>
                <w:b w:val="0"/>
                <w:bCs w:val="0"/>
                <w:sz w:val="22"/>
                <w:szCs w:val="22"/>
                <w:lang w:val="lv-LV"/>
              </w:rPr>
            </w:pPr>
          </w:p>
        </w:tc>
        <w:tc>
          <w:tcPr>
            <w:tcW w:w="3743" w:type="dxa"/>
            <w:vMerge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pStyle w:val="Bullet"/>
              <w:numPr>
                <w:ilvl w:val="0"/>
                <w:numId w:val="0"/>
              </w:numPr>
              <w:spacing w:beforeLines="40" w:afterLines="40"/>
              <w:ind w:left="322"/>
              <w:jc w:val="both"/>
              <w:cnfStyle w:val="000000000000"/>
              <w:rPr>
                <w:rFonts w:cs="Times New Roman"/>
                <w:sz w:val="22"/>
                <w:lang w:val="lv-LV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Ievaddatu un kontroļu pārbaudes procedūra: pamatlīdzekļu uz projektu attiecināto stundu salīdzināšana ar pamatlīdzekļa laika uzskaites kartēm. Pārbaude par to vai izvēlētās pamatlīdzekļu </w:t>
            </w:r>
            <w:r w:rsidRPr="00AD32A0">
              <w:rPr>
                <w:sz w:val="22"/>
                <w:szCs w:val="22"/>
                <w:lang w:val="lv-LV"/>
              </w:rPr>
              <w:lastRenderedPageBreak/>
              <w:t>laika uzskaites kartes ir atbildīgās personas apstiprinātas.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85616B" w:rsidP="00BA1BF0">
            <w:pPr>
              <w:spacing w:beforeLines="40" w:afterLines="40"/>
              <w:jc w:val="center"/>
              <w:cnfStyle w:val="00000000000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Pamatlīdzekļi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0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Izvēlēto pamatlīdzekļu laika uzskaites kartes.</w:t>
            </w:r>
          </w:p>
        </w:tc>
      </w:tr>
      <w:tr w:rsidR="00BF5120" w:rsidRPr="00CE3491" w:rsidTr="00FF602E">
        <w:trPr>
          <w:cnfStyle w:val="000000100000"/>
        </w:trPr>
        <w:tc>
          <w:tcPr>
            <w:cnfStyle w:val="001000000000"/>
            <w:tcW w:w="1219" w:type="dxa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lastRenderedPageBreak/>
              <w:t>2.3.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Nākamo periodu ieņēmumi tiek uzskaitīti un norakstīti saskaņā ar grāmatvedības uzskaites principiem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Detalizētā metode salīdzinot izvēlēto pamatlīdzekļu pārskata perioda nolietojumu ar ieņēmumiem, kas norakstīti no nākamo periodu ieņēmumiem.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85616B" w:rsidP="00AF189B">
            <w:pPr>
              <w:jc w:val="center"/>
              <w:cnfStyle w:val="00000010000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</w:t>
            </w:r>
            <w:r w:rsidR="00BF5120" w:rsidRPr="00AD32A0">
              <w:rPr>
                <w:sz w:val="22"/>
                <w:szCs w:val="22"/>
                <w:lang w:val="lv-LV"/>
              </w:rPr>
              <w:t>truktūrfondu finansētie ilgtermiņa aktīvi.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Grāmatvedības izdruka salīdzinot pamatlīdzekļu nolietojumu ar norakstītiem ieņēmumiem no nākamo periodu ieņēmumiem.</w:t>
            </w:r>
          </w:p>
        </w:tc>
      </w:tr>
      <w:tr w:rsidR="00BF5120" w:rsidRPr="00AD32A0" w:rsidTr="00FF602E">
        <w:tc>
          <w:tcPr>
            <w:cnfStyle w:val="001000000000"/>
            <w:tcW w:w="15026" w:type="dxa"/>
            <w:gridSpan w:val="5"/>
            <w:tcBorders>
              <w:right w:val="single" w:sz="4" w:space="0" w:color="auto"/>
            </w:tcBorders>
            <w:shd w:val="clear" w:color="auto" w:fill="99FFCC"/>
          </w:tcPr>
          <w:p w:rsidR="00BF5120" w:rsidRPr="00AD32A0" w:rsidRDefault="00BF5120" w:rsidP="00BA1BF0">
            <w:pPr>
              <w:pStyle w:val="Bullet"/>
              <w:numPr>
                <w:ilvl w:val="0"/>
                <w:numId w:val="0"/>
              </w:numPr>
              <w:spacing w:beforeLines="40" w:afterLines="40"/>
              <w:jc w:val="both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Ieņēmumi</w:t>
            </w:r>
          </w:p>
        </w:tc>
      </w:tr>
      <w:tr w:rsidR="00BF5120" w:rsidRPr="00CE3491" w:rsidTr="00FF602E">
        <w:trPr>
          <w:cnfStyle w:val="000000100000"/>
        </w:trPr>
        <w:tc>
          <w:tcPr>
            <w:cnfStyle w:val="001000000000"/>
            <w:tcW w:w="1219" w:type="dxa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t>3.1.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Tiek nodrošināta PO nesaimnieciskās pamatdarbības, saimnieciskās pamatdarbības un pārējās saimnieciskās darbības finanšu plūsmu nodalīšana ieņēmumiem.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Detalizētā metode (salīdzināt transakcijas pret attaisnojuma dokumentiem un pārbaudīt vai grāmatojumu klasifikācija ir atbilstoša, t.sk. vai ieņēmumi tiek attiecināti pareizam projektam).</w:t>
            </w:r>
          </w:p>
          <w:p w:rsidR="00BF5120" w:rsidRPr="00AD32A0" w:rsidRDefault="00BF5120" w:rsidP="00BA1BF0">
            <w:pPr>
              <w:spacing w:beforeLines="40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Atsevišķi tiek pārbaudītas datu kopa:</w:t>
            </w:r>
          </w:p>
          <w:p w:rsidR="00BF5120" w:rsidRPr="00AD32A0" w:rsidRDefault="00BF5120" w:rsidP="00BA1BF0">
            <w:pPr>
              <w:pStyle w:val="Bullet"/>
              <w:spacing w:beforeLines="20" w:after="0"/>
              <w:ind w:left="324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Visi PO ieņēmumi.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85616B" w:rsidP="00AF189B">
            <w:pPr>
              <w:jc w:val="center"/>
              <w:cnfStyle w:val="00000010000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Ieņēmumu transakcijas, v</w:t>
            </w:r>
            <w:r w:rsidRPr="00AD32A0">
              <w:rPr>
                <w:sz w:val="22"/>
                <w:szCs w:val="22"/>
                <w:lang w:val="lv-LV"/>
              </w:rPr>
              <w:t>ismaz 1 no struktūrfondu projekta.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Izdruka no PO grāmatvedības sistēmas ar ieņēmumu detalizētu apgrozījumu (pa grāmatojumiem, ar visām grāmatvedības dimensijām)</w:t>
            </w:r>
          </w:p>
        </w:tc>
      </w:tr>
      <w:tr w:rsidR="00BF5120" w:rsidRPr="00AD32A0" w:rsidTr="00FF602E">
        <w:tc>
          <w:tcPr>
            <w:cnfStyle w:val="001000000000"/>
            <w:tcW w:w="1219" w:type="dxa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t>3.2.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Honorāru pārbaude par intelektuālo īpašumu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Detalizētā metode (identificēt honorāru ieņēmumu avotu – no kādiem projektiem tie ir radušies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center"/>
              <w:cnfStyle w:val="0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Visi honorāri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0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Izdruka no PO grāmatvedības sistēmas ar honorāru ieņēmumu detalizētu apgrozījumu</w:t>
            </w:r>
          </w:p>
        </w:tc>
      </w:tr>
      <w:tr w:rsidR="00BF5120" w:rsidRPr="00AB273B" w:rsidTr="00FF602E">
        <w:trPr>
          <w:cnfStyle w:val="000000100000"/>
        </w:trPr>
        <w:tc>
          <w:tcPr>
            <w:cnfStyle w:val="001000000000"/>
            <w:tcW w:w="1219" w:type="dxa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t>3.3.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PO uzrauga un analizē nesaimnieciskās pamatdarbības ieņēmumus</w:t>
            </w:r>
          </w:p>
          <w:p w:rsidR="00BF5120" w:rsidRPr="00AD32A0" w:rsidRDefault="00BF5120" w:rsidP="00BA1BF0">
            <w:pPr>
              <w:spacing w:beforeLines="40" w:afterLines="40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Ja nesaimnieciskās pamatdarbības sadaļā esošajā Fondu projektā tiek gūti ieņēmumi 5 gadu periodā pēc darbības pabeigšanas, kas nebija iepriekš paredzēti, tad ieņēmumi ir atskaitīti no Komisijai deklarētajiem izdevumiem.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Detalizētā metode caurskatot visus fondu finansētos projektus lai identificētu vai tajos ir gūti ieņēmumi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center"/>
              <w:cnfStyle w:val="000000100000"/>
              <w:rPr>
                <w:sz w:val="22"/>
                <w:szCs w:val="22"/>
                <w:lang w:val="lv-LV"/>
              </w:rPr>
            </w:pPr>
          </w:p>
          <w:p w:rsidR="00BF5120" w:rsidRPr="00AD32A0" w:rsidRDefault="00BF5120" w:rsidP="00BA1BF0">
            <w:pPr>
              <w:spacing w:beforeLines="40" w:afterLines="40"/>
              <w:jc w:val="center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Visi nesaimnieciskās pamatdarbības ieņēmumi</w:t>
            </w:r>
          </w:p>
          <w:p w:rsidR="00BF5120" w:rsidRPr="00AD32A0" w:rsidRDefault="00BF5120" w:rsidP="00BA1BF0">
            <w:pPr>
              <w:pStyle w:val="Bullet"/>
              <w:numPr>
                <w:ilvl w:val="0"/>
                <w:numId w:val="0"/>
              </w:numPr>
              <w:spacing w:beforeLines="40" w:afterLines="40"/>
              <w:ind w:left="1004" w:hanging="284"/>
              <w:cnfStyle w:val="000000100000"/>
              <w:rPr>
                <w:rFonts w:cs="Times New Roman"/>
                <w:sz w:val="22"/>
                <w:lang w:val="lv-LV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Fondu finansēto projektu g</w:t>
            </w:r>
            <w:r w:rsidR="002133D4">
              <w:rPr>
                <w:rFonts w:cs="Times New Roman"/>
                <w:sz w:val="22"/>
                <w:lang w:val="lv-LV"/>
              </w:rPr>
              <w:t>rāmatvedības detalizēta izdruka.</w:t>
            </w:r>
          </w:p>
        </w:tc>
      </w:tr>
      <w:tr w:rsidR="00BF5120" w:rsidRPr="00AD32A0" w:rsidTr="00FF602E">
        <w:tc>
          <w:tcPr>
            <w:cnfStyle w:val="001000000000"/>
            <w:tcW w:w="1219" w:type="dxa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t>3.4.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Tirgus cenas noteikšanā tiek pielietota atbilstoša metode, tās izvēle ir pamatota ar situācijas analīzi. Analīze ir dokumentēta un ir izsekojama. 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 xml:space="preserve">Detalizētā metode, caurskatot tirgus cenas noteikšanas piemērošanu pakalpojumu, produktu, tehnoloģiju, prototipu un intelektuālo īpašumu projektiem (peļņas centriem), saskaņā ar grāmatvedības politiku, katrai unikālajai tirgus </w:t>
            </w:r>
            <w:r w:rsidRPr="00AD32A0">
              <w:rPr>
                <w:sz w:val="22"/>
                <w:szCs w:val="22"/>
                <w:lang w:val="lv-LV"/>
              </w:rPr>
              <w:lastRenderedPageBreak/>
              <w:t xml:space="preserve">cenas noteikšanas metodei. </w:t>
            </w:r>
          </w:p>
          <w:p w:rsidR="00BF5120" w:rsidRPr="00AD32A0" w:rsidRDefault="00BF5120" w:rsidP="00BA1BF0">
            <w:pPr>
              <w:spacing w:beforeLines="20" w:afterLines="20"/>
              <w:jc w:val="both"/>
              <w:cnfStyle w:val="0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Pārbaude ietver:</w:t>
            </w:r>
          </w:p>
          <w:p w:rsidR="00BF5120" w:rsidRPr="00AD32A0" w:rsidRDefault="00BF5120" w:rsidP="00BA1BF0">
            <w:pPr>
              <w:pStyle w:val="Bullet"/>
              <w:spacing w:beforeLines="20" w:afterLines="20"/>
              <w:ind w:left="324"/>
              <w:jc w:val="both"/>
              <w:cnfStyle w:val="0000000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Pārbaude pret politiku;</w:t>
            </w:r>
          </w:p>
          <w:p w:rsidR="00BF5120" w:rsidRPr="00AD32A0" w:rsidRDefault="00BF5120" w:rsidP="00BA1BF0">
            <w:pPr>
              <w:pStyle w:val="Bullet"/>
              <w:spacing w:beforeLines="20" w:afterLines="20"/>
              <w:ind w:left="324"/>
              <w:jc w:val="both"/>
              <w:cnfStyle w:val="0000000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Ievaddatu pārbaude (pret grāmatvedības vai ārējām atskaitēm);</w:t>
            </w:r>
          </w:p>
          <w:p w:rsidR="00BF5120" w:rsidRPr="00AD32A0" w:rsidRDefault="00BF5120" w:rsidP="00BA1BF0">
            <w:pPr>
              <w:pStyle w:val="Bullet"/>
              <w:spacing w:beforeLines="20" w:afterLines="20"/>
              <w:ind w:left="324"/>
              <w:jc w:val="both"/>
              <w:cnfStyle w:val="0000000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t>Formulu pareizība.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2133D4">
            <w:pPr>
              <w:spacing w:before="120"/>
              <w:jc w:val="center"/>
              <w:cnfStyle w:val="0000000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lastRenderedPageBreak/>
              <w:t>1 pārbaude katrai unikālajai tirgus cenas noteikšanas</w:t>
            </w:r>
            <w:r w:rsidR="002133D4">
              <w:rPr>
                <w:sz w:val="22"/>
                <w:szCs w:val="22"/>
                <w:lang w:val="lv-LV"/>
              </w:rPr>
              <w:t xml:space="preserve"> metodei – sākotnējās </w:t>
            </w:r>
            <w:r w:rsidR="002133D4">
              <w:rPr>
                <w:sz w:val="22"/>
                <w:szCs w:val="22"/>
                <w:lang w:val="lv-LV"/>
              </w:rPr>
              <w:lastRenderedPageBreak/>
              <w:t>izpratnes</w:t>
            </w:r>
            <w:r w:rsidRPr="00AD32A0">
              <w:rPr>
                <w:sz w:val="22"/>
                <w:szCs w:val="22"/>
                <w:lang w:val="lv-LV"/>
              </w:rPr>
              <w:t xml:space="preserve"> pārbaudes ietvaros.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pStyle w:val="Bullet"/>
              <w:spacing w:beforeLines="40" w:afterLines="40"/>
              <w:ind w:left="238" w:hanging="238"/>
              <w:jc w:val="both"/>
              <w:cnfStyle w:val="000000000000"/>
              <w:rPr>
                <w:rFonts w:cs="Times New Roman"/>
                <w:sz w:val="22"/>
                <w:lang w:val="lv-LV"/>
              </w:rPr>
            </w:pPr>
            <w:r w:rsidRPr="00AD32A0">
              <w:rPr>
                <w:rFonts w:cs="Times New Roman"/>
                <w:sz w:val="22"/>
                <w:lang w:val="lv-LV"/>
              </w:rPr>
              <w:lastRenderedPageBreak/>
              <w:t>Tirgus cenas noteikšanas aprēķins atbilstošiem līgumiem.</w:t>
            </w:r>
          </w:p>
        </w:tc>
      </w:tr>
      <w:tr w:rsidR="00BF5120" w:rsidRPr="00AD32A0" w:rsidTr="00FF602E">
        <w:trPr>
          <w:cnfStyle w:val="000000100000"/>
        </w:trPr>
        <w:tc>
          <w:tcPr>
            <w:cnfStyle w:val="001000000000"/>
            <w:tcW w:w="1219" w:type="dxa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center"/>
              <w:rPr>
                <w:b w:val="0"/>
                <w:sz w:val="22"/>
                <w:szCs w:val="22"/>
                <w:lang w:val="lv-LV"/>
              </w:rPr>
            </w:pPr>
            <w:r w:rsidRPr="00AD32A0">
              <w:rPr>
                <w:b w:val="0"/>
                <w:sz w:val="22"/>
                <w:szCs w:val="22"/>
                <w:lang w:val="lv-LV"/>
              </w:rPr>
              <w:lastRenderedPageBreak/>
              <w:t>3.5.</w:t>
            </w:r>
          </w:p>
        </w:tc>
        <w:tc>
          <w:tcPr>
            <w:tcW w:w="3743" w:type="dxa"/>
            <w:tcBorders>
              <w:right w:val="single" w:sz="4" w:space="0" w:color="auto"/>
            </w:tcBorders>
          </w:tcPr>
          <w:p w:rsidR="00BF5120" w:rsidRPr="00AD32A0" w:rsidRDefault="00BF5120" w:rsidP="00BA1BF0">
            <w:pPr>
              <w:spacing w:beforeLines="40" w:afterLines="40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Nesaimnieciskajā pamatdarbībā gūtie neto ieņēmumi tiek reinvestēti tikai nesaimnieciskajā pamatdarbībā.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7405B8" w:rsidP="00BA1BF0">
            <w:pPr>
              <w:spacing w:beforeLines="40" w:afterLines="40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</w:t>
            </w:r>
            <w:r w:rsidR="00BF5120" w:rsidRPr="00AD32A0">
              <w:rPr>
                <w:sz w:val="22"/>
                <w:szCs w:val="22"/>
                <w:lang w:val="lv-LV"/>
              </w:rPr>
              <w:t>rincip</w:t>
            </w:r>
            <w:r>
              <w:rPr>
                <w:sz w:val="22"/>
                <w:szCs w:val="22"/>
                <w:lang w:val="lv-LV"/>
              </w:rPr>
              <w:t>i</w:t>
            </w:r>
            <w:r w:rsidR="00BF5120" w:rsidRPr="00AD32A0">
              <w:rPr>
                <w:sz w:val="22"/>
                <w:szCs w:val="22"/>
                <w:lang w:val="lv-LV"/>
              </w:rPr>
              <w:t xml:space="preserve"> un kontroles kā nodrošina šīs prasības izpildi. Detalizētā metode caurskatot reinvestēšanas procesu saskaņā ar grāmatvedības politiku atlasītajam projektam.</w:t>
            </w:r>
          </w:p>
          <w:p w:rsidR="00BF5120" w:rsidRPr="00AD32A0" w:rsidRDefault="00BF5120" w:rsidP="00BA1BF0">
            <w:pPr>
              <w:spacing w:beforeLines="40" w:afterLines="40"/>
              <w:jc w:val="both"/>
              <w:cnfStyle w:val="000000100000"/>
              <w:rPr>
                <w:sz w:val="22"/>
                <w:szCs w:val="22"/>
                <w:lang w:val="lv-LV"/>
              </w:rPr>
            </w:pPr>
            <w:r w:rsidRPr="00AD32A0">
              <w:rPr>
                <w:sz w:val="22"/>
                <w:szCs w:val="22"/>
                <w:lang w:val="lv-LV"/>
              </w:rPr>
              <w:t>Pārliecināties par to vai PO ir bijusi peļņa par pārskata periodu un ja jā, vai tā ir tikusi sadalīta un izmaksāta dividendēs.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85616B" w:rsidP="00BA1BF0">
            <w:pPr>
              <w:spacing w:beforeLines="40" w:afterLines="40"/>
              <w:jc w:val="center"/>
              <w:cnfStyle w:val="00000010000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Principu izpratne</w:t>
            </w:r>
            <w:r w:rsidR="00BF5120" w:rsidRPr="00AD32A0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0" w:rsidRPr="00AD32A0" w:rsidRDefault="00BF5120" w:rsidP="00BA1BF0">
            <w:pPr>
              <w:pStyle w:val="Bullet"/>
              <w:numPr>
                <w:ilvl w:val="0"/>
                <w:numId w:val="0"/>
              </w:numPr>
              <w:spacing w:beforeLines="40" w:afterLines="40"/>
              <w:jc w:val="both"/>
              <w:cnfStyle w:val="000000100000"/>
              <w:rPr>
                <w:rFonts w:cs="Times New Roman"/>
                <w:sz w:val="22"/>
                <w:lang w:val="lv-LV"/>
              </w:rPr>
            </w:pPr>
          </w:p>
        </w:tc>
      </w:tr>
    </w:tbl>
    <w:p w:rsidR="008E1A59" w:rsidRPr="00BF5120" w:rsidRDefault="000A3ECB">
      <w:pPr>
        <w:rPr>
          <w:lang w:val="lv-LV"/>
        </w:rPr>
      </w:pPr>
    </w:p>
    <w:sectPr w:rsidR="008E1A59" w:rsidRPr="00BF5120" w:rsidSect="00CD3008">
      <w:headerReference w:type="default" r:id="rId8"/>
      <w:footerReference w:type="default" r:id="rId9"/>
      <w:pgSz w:w="16838" w:h="11906" w:orient="landscape"/>
      <w:pgMar w:top="1276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ECB" w:rsidRDefault="000A3ECB" w:rsidP="00BF5120">
      <w:r>
        <w:separator/>
      </w:r>
    </w:p>
  </w:endnote>
  <w:endnote w:type="continuationSeparator" w:id="0">
    <w:p w:rsidR="000A3ECB" w:rsidRDefault="000A3ECB" w:rsidP="00BF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Univer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047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5120" w:rsidRDefault="00AD32A0" w:rsidP="00AD32A0">
        <w:pPr>
          <w:pStyle w:val="Kjene"/>
          <w:tabs>
            <w:tab w:val="left" w:pos="2595"/>
            <w:tab w:val="right" w:pos="13958"/>
          </w:tabs>
        </w:pPr>
        <w:r>
          <w:tab/>
        </w:r>
        <w:r>
          <w:tab/>
        </w:r>
        <w:r>
          <w:tab/>
        </w:r>
        <w:r>
          <w:tab/>
        </w:r>
        <w:r w:rsidR="00457B98">
          <w:fldChar w:fldCharType="begin"/>
        </w:r>
        <w:r w:rsidR="00BF5120">
          <w:instrText xml:space="preserve"> PAGE   \* MERGEFORMAT </w:instrText>
        </w:r>
        <w:r w:rsidR="00457B98">
          <w:fldChar w:fldCharType="separate"/>
        </w:r>
        <w:r w:rsidR="00BA1BF0">
          <w:rPr>
            <w:noProof/>
          </w:rPr>
          <w:t>5</w:t>
        </w:r>
        <w:r w:rsidR="00457B98">
          <w:rPr>
            <w:noProof/>
          </w:rPr>
          <w:fldChar w:fldCharType="end"/>
        </w:r>
      </w:p>
    </w:sdtContent>
  </w:sdt>
  <w:p w:rsidR="00BF5120" w:rsidRDefault="00AD32A0">
    <w:pPr>
      <w:pStyle w:val="Kjene"/>
    </w:pPr>
    <w:r w:rsidRPr="00A03A20">
      <w:rPr>
        <w:noProof/>
        <w:lang w:val="lv-LV" w:eastAsia="lv-LV"/>
      </w:rPr>
      <w:drawing>
        <wp:inline distT="0" distB="0" distL="0" distR="0">
          <wp:extent cx="560937" cy="230400"/>
          <wp:effectExtent l="19050" t="0" r="0" b="0"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37" cy="23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ECB" w:rsidRDefault="000A3ECB" w:rsidP="00BF5120">
      <w:r>
        <w:separator/>
      </w:r>
    </w:p>
  </w:footnote>
  <w:footnote w:type="continuationSeparator" w:id="0">
    <w:p w:rsidR="000A3ECB" w:rsidRDefault="000A3ECB" w:rsidP="00BF5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91" w:rsidRDefault="00CE3491" w:rsidP="00CE3491">
    <w:pPr>
      <w:pStyle w:val="Galve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803"/>
    <w:multiLevelType w:val="multilevel"/>
    <w:tmpl w:val="8D2688A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772DD"/>
    <w:multiLevelType w:val="multilevel"/>
    <w:tmpl w:val="8D2688A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96892"/>
    <w:multiLevelType w:val="hybridMultilevel"/>
    <w:tmpl w:val="8D2688A8"/>
    <w:lvl w:ilvl="0" w:tplc="57364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36422"/>
    <w:multiLevelType w:val="hybridMultilevel"/>
    <w:tmpl w:val="E244F56E"/>
    <w:lvl w:ilvl="0" w:tplc="CE3C4FE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371C8"/>
    <w:multiLevelType w:val="hybridMultilevel"/>
    <w:tmpl w:val="7A5A43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531FF"/>
    <w:multiLevelType w:val="multilevel"/>
    <w:tmpl w:val="76D2BC4C"/>
    <w:lvl w:ilvl="0">
      <w:start w:val="1"/>
      <w:numFmt w:val="decimal"/>
      <w:pStyle w:val="Virsraksts1"/>
      <w:lvlText w:val="%1."/>
      <w:lvlJc w:val="left"/>
      <w:pPr>
        <w:ind w:left="850" w:hanging="850"/>
      </w:pPr>
      <w:rPr>
        <w:rFonts w:ascii="Times New Roman" w:hAnsi="Times New Roman" w:hint="default"/>
        <w:b/>
        <w:i w:val="0"/>
        <w:color w:val="FFC000" w:themeColor="accent4"/>
      </w:rPr>
    </w:lvl>
    <w:lvl w:ilvl="1">
      <w:start w:val="1"/>
      <w:numFmt w:val="decimal"/>
      <w:pStyle w:val="Virsraksts2"/>
      <w:lvlText w:val="%1.%2"/>
      <w:lvlJc w:val="left"/>
      <w:pPr>
        <w:ind w:left="3969" w:hanging="850"/>
      </w:pPr>
      <w:rPr>
        <w:b/>
        <w:i w:val="0"/>
      </w:rPr>
    </w:lvl>
    <w:lvl w:ilvl="2">
      <w:start w:val="1"/>
      <w:numFmt w:val="decimal"/>
      <w:pStyle w:val="Virsraksts3"/>
      <w:lvlText w:val="%1.%2.%3"/>
      <w:lvlJc w:val="left"/>
      <w:pPr>
        <w:ind w:left="850" w:hanging="850"/>
      </w:pPr>
      <w:rPr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ind w:left="850" w:hanging="85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72D6F49"/>
    <w:multiLevelType w:val="multilevel"/>
    <w:tmpl w:val="CC4AD4BE"/>
    <w:lvl w:ilvl="0">
      <w:start w:val="1"/>
      <w:numFmt w:val="bullet"/>
      <w:pStyle w:val="Bullet"/>
      <w:lvlText w:val="■"/>
      <w:lvlJc w:val="left"/>
      <w:pPr>
        <w:ind w:left="1004" w:hanging="284"/>
      </w:pPr>
      <w:rPr>
        <w:rFonts w:ascii="Arial" w:hAnsi="Arial" w:hint="default"/>
        <w:color w:val="97989A"/>
        <w:sz w:val="24"/>
      </w:rPr>
    </w:lvl>
    <w:lvl w:ilvl="1">
      <w:start w:val="1"/>
      <w:numFmt w:val="bullet"/>
      <w:lvlText w:val="–"/>
      <w:lvlJc w:val="left"/>
      <w:pPr>
        <w:ind w:left="1287" w:hanging="283"/>
      </w:pPr>
      <w:rPr>
        <w:rFonts w:ascii="Arial" w:hAnsi="Arial" w:hint="default"/>
        <w:color w:val="97989A"/>
      </w:rPr>
    </w:lvl>
    <w:lvl w:ilvl="2">
      <w:start w:val="1"/>
      <w:numFmt w:val="bullet"/>
      <w:lvlRestart w:val="1"/>
      <w:lvlText w:val="■"/>
      <w:lvlJc w:val="left"/>
      <w:pPr>
        <w:tabs>
          <w:tab w:val="num" w:pos="1571"/>
        </w:tabs>
        <w:ind w:left="1571" w:hanging="284"/>
      </w:pPr>
      <w:rPr>
        <w:rFonts w:ascii="Arial" w:hAnsi="Arial" w:hint="default"/>
        <w:color w:val="97989A"/>
      </w:rPr>
    </w:lvl>
    <w:lvl w:ilvl="3">
      <w:start w:val="1"/>
      <w:numFmt w:val="bullet"/>
      <w:lvlText w:val="–"/>
      <w:lvlJc w:val="left"/>
      <w:pPr>
        <w:ind w:left="1854" w:hanging="283"/>
      </w:pPr>
      <w:rPr>
        <w:rFonts w:ascii="Arial" w:hAnsi="Arial" w:hint="default"/>
        <w:color w:val="97989A"/>
      </w:rPr>
    </w:lvl>
    <w:lvl w:ilvl="4">
      <w:start w:val="1"/>
      <w:numFmt w:val="bullet"/>
      <w:lvlText w:val="■"/>
      <w:lvlJc w:val="left"/>
      <w:pPr>
        <w:ind w:left="2421" w:hanging="281"/>
      </w:pPr>
      <w:rPr>
        <w:rFonts w:ascii="Arial" w:hAnsi="Arial" w:hint="default"/>
        <w:color w:val="97989A"/>
      </w:rPr>
    </w:lvl>
    <w:lvl w:ilvl="5">
      <w:start w:val="1"/>
      <w:numFmt w:val="bullet"/>
      <w:lvlText w:val="–"/>
      <w:lvlJc w:val="left"/>
      <w:pPr>
        <w:ind w:left="2786" w:hanging="362"/>
      </w:pPr>
      <w:rPr>
        <w:rFonts w:ascii="Arial" w:hAnsi="Arial" w:hint="default"/>
        <w:color w:val="97989A"/>
      </w:rPr>
    </w:lvl>
    <w:lvl w:ilvl="6">
      <w:start w:val="1"/>
      <w:numFmt w:val="bullet"/>
      <w:lvlText w:val=""/>
      <w:lvlJc w:val="left"/>
      <w:pPr>
        <w:ind w:left="3070" w:hanging="36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54" w:hanging="36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38" w:hanging="362"/>
      </w:pPr>
      <w:rPr>
        <w:rFonts w:ascii="Wingdings" w:hAnsi="Wingdings" w:hint="default"/>
      </w:rPr>
    </w:lvl>
  </w:abstractNum>
  <w:abstractNum w:abstractNumId="7">
    <w:nsid w:val="6C1F220F"/>
    <w:multiLevelType w:val="multilevel"/>
    <w:tmpl w:val="8D2688A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F5120"/>
    <w:rsid w:val="000A3ECB"/>
    <w:rsid w:val="00175D3F"/>
    <w:rsid w:val="002133D4"/>
    <w:rsid w:val="00295E26"/>
    <w:rsid w:val="002F6BB1"/>
    <w:rsid w:val="00457B98"/>
    <w:rsid w:val="006840BA"/>
    <w:rsid w:val="006856EE"/>
    <w:rsid w:val="00724BCD"/>
    <w:rsid w:val="007405B8"/>
    <w:rsid w:val="00762FFC"/>
    <w:rsid w:val="0085616B"/>
    <w:rsid w:val="009217E1"/>
    <w:rsid w:val="00986B13"/>
    <w:rsid w:val="009C54B5"/>
    <w:rsid w:val="009D1C91"/>
    <w:rsid w:val="00A910D5"/>
    <w:rsid w:val="00AB273B"/>
    <w:rsid w:val="00AD32A0"/>
    <w:rsid w:val="00B30395"/>
    <w:rsid w:val="00BA1BF0"/>
    <w:rsid w:val="00BC4113"/>
    <w:rsid w:val="00BF5120"/>
    <w:rsid w:val="00C304D2"/>
    <w:rsid w:val="00CD1840"/>
    <w:rsid w:val="00CD3008"/>
    <w:rsid w:val="00CE3491"/>
    <w:rsid w:val="00DD7804"/>
    <w:rsid w:val="00E02E8C"/>
    <w:rsid w:val="00E90205"/>
    <w:rsid w:val="00EB7784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unhideWhenUsed/>
    <w:qFormat/>
    <w:rsid w:val="00BF512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Virsraksts1">
    <w:name w:val="heading 1"/>
    <w:basedOn w:val="Parastais"/>
    <w:next w:val="Virsraksts2"/>
    <w:link w:val="Virsraksts1Rakstz"/>
    <w:autoRedefine/>
    <w:qFormat/>
    <w:rsid w:val="00BF5120"/>
    <w:pPr>
      <w:keepNext/>
      <w:pageBreakBefore/>
      <w:numPr>
        <w:numId w:val="2"/>
      </w:numPr>
      <w:tabs>
        <w:tab w:val="left" w:pos="851"/>
      </w:tabs>
      <w:spacing w:after="500"/>
      <w:outlineLvl w:val="0"/>
    </w:pPr>
    <w:rPr>
      <w:b/>
      <w:bCs/>
      <w:color w:val="00338D"/>
      <w:kern w:val="32"/>
      <w:sz w:val="44"/>
      <w:szCs w:val="44"/>
      <w:lang w:val="lv-LV"/>
    </w:rPr>
  </w:style>
  <w:style w:type="paragraph" w:styleId="Virsraksts2">
    <w:name w:val="heading 2"/>
    <w:basedOn w:val="Parastais"/>
    <w:next w:val="Virsraksts3"/>
    <w:link w:val="Virsraksts2Rakstz"/>
    <w:qFormat/>
    <w:rsid w:val="00BF5120"/>
    <w:pPr>
      <w:keepNext/>
      <w:numPr>
        <w:ilvl w:val="1"/>
        <w:numId w:val="2"/>
      </w:numPr>
      <w:tabs>
        <w:tab w:val="left" w:pos="1134"/>
      </w:tabs>
      <w:spacing w:before="280" w:after="140"/>
      <w:outlineLvl w:val="1"/>
    </w:pPr>
    <w:rPr>
      <w:rFonts w:eastAsiaTheme="minorHAnsi" w:cstheme="minorBidi"/>
      <w:b/>
      <w:color w:val="00338D"/>
      <w:sz w:val="28"/>
      <w:szCs w:val="22"/>
    </w:rPr>
  </w:style>
  <w:style w:type="paragraph" w:styleId="Virsraksts3">
    <w:name w:val="heading 3"/>
    <w:basedOn w:val="Parastais"/>
    <w:next w:val="Parastais"/>
    <w:link w:val="Virsraksts3Rakstz"/>
    <w:qFormat/>
    <w:rsid w:val="00BF5120"/>
    <w:pPr>
      <w:keepNext/>
      <w:numPr>
        <w:ilvl w:val="2"/>
        <w:numId w:val="2"/>
      </w:numPr>
      <w:tabs>
        <w:tab w:val="left" w:pos="1134"/>
      </w:tabs>
      <w:spacing w:before="140"/>
      <w:outlineLvl w:val="2"/>
    </w:pPr>
    <w:rPr>
      <w:color w:val="44546A" w:themeColor="text2"/>
      <w:sz w:val="24"/>
    </w:rPr>
  </w:style>
  <w:style w:type="paragraph" w:styleId="Virsraksts4">
    <w:name w:val="heading 4"/>
    <w:basedOn w:val="Parastais"/>
    <w:next w:val="Parastais"/>
    <w:link w:val="Virsraksts4Rakstz"/>
    <w:qFormat/>
    <w:rsid w:val="00BF5120"/>
    <w:pPr>
      <w:keepNext/>
      <w:numPr>
        <w:ilvl w:val="3"/>
        <w:numId w:val="2"/>
      </w:numPr>
      <w:tabs>
        <w:tab w:val="left" w:pos="1134"/>
      </w:tabs>
      <w:spacing w:before="140"/>
      <w:outlineLvl w:val="3"/>
    </w:pPr>
    <w:rPr>
      <w:color w:val="44546A" w:themeColor="text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BF5120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F5120"/>
  </w:style>
  <w:style w:type="paragraph" w:styleId="Kjene">
    <w:name w:val="footer"/>
    <w:basedOn w:val="Parastais"/>
    <w:link w:val="KjeneRakstz"/>
    <w:uiPriority w:val="99"/>
    <w:unhideWhenUsed/>
    <w:rsid w:val="00BF5120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F5120"/>
  </w:style>
  <w:style w:type="character" w:customStyle="1" w:styleId="Virsraksts1Rakstz">
    <w:name w:val="Virsraksts 1 Rakstz."/>
    <w:basedOn w:val="Noklusjumarindkopasfonts"/>
    <w:link w:val="Virsraksts1"/>
    <w:rsid w:val="00BF5120"/>
    <w:rPr>
      <w:rFonts w:ascii="Times New Roman" w:eastAsia="Times New Roman" w:hAnsi="Times New Roman" w:cs="Times New Roman"/>
      <w:b/>
      <w:bCs/>
      <w:color w:val="00338D"/>
      <w:kern w:val="32"/>
      <w:sz w:val="44"/>
      <w:szCs w:val="44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BF5120"/>
    <w:rPr>
      <w:rFonts w:ascii="Times New Roman" w:hAnsi="Times New Roman"/>
      <w:b/>
      <w:color w:val="00338D"/>
      <w:sz w:val="28"/>
    </w:rPr>
  </w:style>
  <w:style w:type="character" w:customStyle="1" w:styleId="Virsraksts3Rakstz">
    <w:name w:val="Virsraksts 3 Rakstz."/>
    <w:basedOn w:val="Noklusjumarindkopasfonts"/>
    <w:link w:val="Virsraksts3"/>
    <w:rsid w:val="00BF5120"/>
    <w:rPr>
      <w:rFonts w:ascii="Times New Roman" w:eastAsia="Times New Roman" w:hAnsi="Times New Roman" w:cs="Times New Roman"/>
      <w:color w:val="44546A" w:themeColor="text2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rsid w:val="00BF5120"/>
    <w:rPr>
      <w:rFonts w:ascii="Times New Roman" w:eastAsia="Times New Roman" w:hAnsi="Times New Roman" w:cs="Times New Roman"/>
      <w:color w:val="44546A" w:themeColor="text2"/>
      <w:szCs w:val="24"/>
    </w:rPr>
  </w:style>
  <w:style w:type="paragraph" w:styleId="Parakstszemobjekta">
    <w:name w:val="caption"/>
    <w:basedOn w:val="Parastais"/>
    <w:next w:val="Parastais"/>
    <w:unhideWhenUsed/>
    <w:qFormat/>
    <w:rsid w:val="00BF5120"/>
    <w:pPr>
      <w:keepNext/>
      <w:spacing w:before="140" w:after="140"/>
    </w:pPr>
    <w:rPr>
      <w:rFonts w:eastAsia="Univers 45 Light"/>
      <w:b/>
      <w:bCs/>
      <w:i/>
      <w:color w:val="00338D"/>
      <w:szCs w:val="20"/>
      <w:lang w:val="lv-LV"/>
    </w:rPr>
  </w:style>
  <w:style w:type="paragraph" w:customStyle="1" w:styleId="Bullet">
    <w:name w:val="Bullet"/>
    <w:basedOn w:val="Parastais"/>
    <w:qFormat/>
    <w:rsid w:val="00BF5120"/>
    <w:pPr>
      <w:numPr>
        <w:numId w:val="1"/>
      </w:numPr>
      <w:spacing w:before="70" w:after="70"/>
    </w:pPr>
    <w:rPr>
      <w:rFonts w:eastAsiaTheme="minorHAnsi" w:cstheme="minorBidi"/>
      <w:szCs w:val="22"/>
    </w:rPr>
  </w:style>
  <w:style w:type="table" w:customStyle="1" w:styleId="LightList1">
    <w:name w:val="Light List1"/>
    <w:basedOn w:val="Parastatabula"/>
    <w:uiPriority w:val="61"/>
    <w:rsid w:val="00BF5120"/>
    <w:pPr>
      <w:spacing w:after="0" w:line="240" w:lineRule="auto"/>
    </w:pPr>
    <w:rPr>
      <w:rFonts w:ascii="Univers 45 Light" w:eastAsia="Times New Roman" w:hAnsi="Univers 45 Light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onteksts">
    <w:name w:val="Balloon Text"/>
    <w:basedOn w:val="Parastais"/>
    <w:link w:val="BalontekstsRakstz"/>
    <w:uiPriority w:val="99"/>
    <w:semiHidden/>
    <w:unhideWhenUsed/>
    <w:rsid w:val="00DD780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7804"/>
    <w:rPr>
      <w:rFonts w:ascii="Segoe UI" w:eastAsia="Times New Roman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6856EE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6856E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856EE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856E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856E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Izteiksmgs">
    <w:name w:val="Strong"/>
    <w:basedOn w:val="Noklusjumarindkopasfonts"/>
    <w:uiPriority w:val="22"/>
    <w:qFormat/>
    <w:rsid w:val="00A91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72B73-7B8D-4CE6-9E52-4EFB870F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5574</Words>
  <Characters>3178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glapins</dc:creator>
  <cp:lastModifiedBy>Arturs</cp:lastModifiedBy>
  <cp:revision>4</cp:revision>
  <cp:lastPrinted>2014-11-05T19:34:00Z</cp:lastPrinted>
  <dcterms:created xsi:type="dcterms:W3CDTF">2015-08-21T10:18:00Z</dcterms:created>
  <dcterms:modified xsi:type="dcterms:W3CDTF">2015-09-01T22:25:00Z</dcterms:modified>
</cp:coreProperties>
</file>